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D987" w14:textId="77777777" w:rsidR="00657859" w:rsidRDefault="00657859" w:rsidP="00721B02">
      <w:pPr>
        <w:pStyle w:val="Heading1"/>
        <w:rPr>
          <w:rFonts w:eastAsia="Times New Roman"/>
        </w:rPr>
      </w:pPr>
      <w:r w:rsidRPr="00657859">
        <w:rPr>
          <w:rFonts w:eastAsia="Times New Roman"/>
        </w:rPr>
        <w:t xml:space="preserve">Writing Committee </w:t>
      </w:r>
      <w:r>
        <w:rPr>
          <w:rFonts w:eastAsia="Times New Roman"/>
        </w:rPr>
        <w:t>Annual Report, 2016-2017</w:t>
      </w:r>
    </w:p>
    <w:p w14:paraId="231803F6" w14:textId="77777777" w:rsidR="00657859" w:rsidRPr="00657859" w:rsidRDefault="00657859" w:rsidP="00657859">
      <w:pPr>
        <w:pStyle w:val="Heading2"/>
        <w:rPr>
          <w:rFonts w:eastAsia="Times New Roman"/>
        </w:rPr>
      </w:pPr>
      <w:r>
        <w:rPr>
          <w:rFonts w:eastAsia="Times New Roman"/>
        </w:rPr>
        <w:t>Membership</w:t>
      </w:r>
    </w:p>
    <w:p w14:paraId="6B5CA7C4" w14:textId="77777777" w:rsidR="00657859" w:rsidRPr="00657859" w:rsidRDefault="00657859" w:rsidP="00657859">
      <w:pPr>
        <w:pStyle w:val="Heading3"/>
        <w:rPr>
          <w:rFonts w:eastAsia="Times New Roman"/>
        </w:rPr>
      </w:pPr>
      <w:r w:rsidRPr="00657859">
        <w:rPr>
          <w:rFonts w:eastAsia="Times New Roman"/>
        </w:rPr>
        <w:t>Faculty Members  </w:t>
      </w:r>
    </w:p>
    <w:p w14:paraId="5C9CFB45" w14:textId="19C60AA0" w:rsidR="00657859" w:rsidRPr="002A7A7C" w:rsidRDefault="00657859" w:rsidP="00657859">
      <w:pPr>
        <w:spacing w:before="100" w:beforeAutospacing="1" w:after="100" w:afterAutospacing="1" w:line="240" w:lineRule="auto"/>
        <w:rPr>
          <w:rFonts w:eastAsia="Times New Roman" w:cs="Times New Roman"/>
        </w:rPr>
      </w:pPr>
      <w:r w:rsidRPr="002A7A7C">
        <w:rPr>
          <w:rFonts w:eastAsia="Times New Roman" w:cs="Times New Roman"/>
        </w:rPr>
        <w:t>Sherrill Brown, Pharmacy 2016 - Chair</w:t>
      </w:r>
      <w:r w:rsidRPr="002A7A7C">
        <w:rPr>
          <w:rFonts w:eastAsia="Times New Roman" w:cs="Times New Roman"/>
        </w:rPr>
        <w:br/>
        <w:t>Gallo, Jessica, C &amp; I 2017</w:t>
      </w:r>
      <w:r w:rsidRPr="002A7A7C">
        <w:rPr>
          <w:rFonts w:eastAsia="Times New Roman" w:cs="Times New Roman"/>
        </w:rPr>
        <w:br/>
        <w:t>A</w:t>
      </w:r>
      <w:r w:rsidR="006052F3">
        <w:rPr>
          <w:rFonts w:eastAsia="Times New Roman" w:cs="Times New Roman"/>
        </w:rPr>
        <w:t>m</w:t>
      </w:r>
      <w:r w:rsidRPr="002A7A7C">
        <w:rPr>
          <w:rFonts w:eastAsia="Times New Roman" w:cs="Times New Roman"/>
        </w:rPr>
        <w:t>y Ratto-Parks, English 2018</w:t>
      </w:r>
      <w:r w:rsidRPr="002A7A7C">
        <w:rPr>
          <w:rFonts w:eastAsia="Times New Roman" w:cs="Times New Roman"/>
        </w:rPr>
        <w:br/>
        <w:t>Jody Pavilack, History 2018</w:t>
      </w:r>
      <w:r w:rsidRPr="002A7A7C">
        <w:rPr>
          <w:rFonts w:eastAsia="Times New Roman" w:cs="Times New Roman"/>
        </w:rPr>
        <w:br/>
        <w:t>Bernadette Sweeney, Theatre 2018</w:t>
      </w:r>
      <w:r w:rsidRPr="002A7A7C">
        <w:rPr>
          <w:rFonts w:eastAsia="Times New Roman" w:cs="Times New Roman"/>
        </w:rPr>
        <w:br/>
        <w:t>Tamm</w:t>
      </w:r>
      <w:r w:rsidR="008E3620">
        <w:rPr>
          <w:rFonts w:eastAsia="Times New Roman" w:cs="Times New Roman"/>
        </w:rPr>
        <w:t>ie</w:t>
      </w:r>
      <w:r w:rsidRPr="002A7A7C">
        <w:rPr>
          <w:rFonts w:eastAsia="Times New Roman" w:cs="Times New Roman"/>
        </w:rPr>
        <w:t xml:space="preserve"> Slater-Smith, Missoula College 2018</w:t>
      </w:r>
      <w:r w:rsidRPr="002A7A7C">
        <w:rPr>
          <w:rFonts w:eastAsia="Times New Roman" w:cs="Times New Roman"/>
        </w:rPr>
        <w:br/>
        <w:t>Celia Winkler, Sociology 2019</w:t>
      </w:r>
      <w:r w:rsidR="002A7A7C" w:rsidRPr="002A7A7C">
        <w:rPr>
          <w:rFonts w:eastAsia="Times New Roman" w:cs="Times New Roman"/>
        </w:rPr>
        <w:t xml:space="preserve"> (fall-only)</w:t>
      </w:r>
      <w:r w:rsidRPr="002A7A7C">
        <w:rPr>
          <w:rFonts w:eastAsia="Times New Roman" w:cs="Times New Roman"/>
        </w:rPr>
        <w:br/>
        <w:t>Erin Baucom, Mansfield Library 2019</w:t>
      </w:r>
    </w:p>
    <w:p w14:paraId="0D6063A8" w14:textId="77777777" w:rsidR="00657859" w:rsidRDefault="00657859" w:rsidP="00657859">
      <w:pPr>
        <w:spacing w:after="0" w:line="240" w:lineRule="auto"/>
        <w:rPr>
          <w:rFonts w:eastAsia="Times New Roman" w:cs="Times New Roman"/>
        </w:rPr>
      </w:pPr>
      <w:r w:rsidRPr="00657859">
        <w:rPr>
          <w:rStyle w:val="Heading3Char"/>
        </w:rPr>
        <w:t xml:space="preserve">Additional Representatives </w:t>
      </w:r>
      <w:r w:rsidRPr="00657859">
        <w:rPr>
          <w:rFonts w:ascii="Times New Roman" w:eastAsia="Times New Roman" w:hAnsi="Times New Roman" w:cs="Times New Roman"/>
          <w:sz w:val="24"/>
          <w:szCs w:val="24"/>
        </w:rPr>
        <w:t>(Ex-Officio)</w:t>
      </w:r>
      <w:r w:rsidRPr="00657859">
        <w:rPr>
          <w:rFonts w:ascii="Times New Roman" w:eastAsia="Times New Roman" w:hAnsi="Times New Roman" w:cs="Times New Roman"/>
          <w:sz w:val="24"/>
          <w:szCs w:val="24"/>
        </w:rPr>
        <w:br/>
      </w:r>
      <w:r w:rsidRPr="002A7A7C">
        <w:rPr>
          <w:rFonts w:eastAsia="Times New Roman" w:cs="Times New Roman"/>
        </w:rPr>
        <w:t>Nathan Lindsay, Associate Provost</w:t>
      </w:r>
      <w:r w:rsidRPr="002A7A7C">
        <w:rPr>
          <w:rFonts w:eastAsia="Times New Roman" w:cs="Times New Roman"/>
        </w:rPr>
        <w:br/>
        <w:t>Joe Hickman, Registrar</w:t>
      </w:r>
      <w:r w:rsidRPr="002A7A7C">
        <w:rPr>
          <w:rFonts w:eastAsia="Times New Roman" w:cs="Times New Roman"/>
        </w:rPr>
        <w:br/>
        <w:t>Kelly Webster, Director, Writing Center</w:t>
      </w:r>
      <w:r w:rsidRPr="002A7A7C">
        <w:rPr>
          <w:rFonts w:eastAsia="Times New Roman" w:cs="Times New Roman"/>
        </w:rPr>
        <w:br/>
        <w:t xml:space="preserve">Erin Wecker, Director, Composition Program </w:t>
      </w:r>
    </w:p>
    <w:p w14:paraId="4740D3AE" w14:textId="1D058CA2" w:rsidR="00244891" w:rsidRPr="002A7A7C" w:rsidRDefault="00244891" w:rsidP="00657859">
      <w:pPr>
        <w:spacing w:after="0" w:line="240" w:lineRule="auto"/>
        <w:rPr>
          <w:rFonts w:eastAsia="Times New Roman" w:cs="Times New Roman"/>
        </w:rPr>
      </w:pPr>
      <w:r>
        <w:rPr>
          <w:rFonts w:eastAsia="Times New Roman" w:cs="Times New Roman"/>
        </w:rPr>
        <w:t>Grace Garner, Academic Advisor (Fall-only)</w:t>
      </w:r>
    </w:p>
    <w:p w14:paraId="45DBD27D" w14:textId="77777777" w:rsidR="003429AF" w:rsidRPr="002A7A7C" w:rsidRDefault="000C17D3">
      <w:r w:rsidRPr="002A7A7C">
        <w:t xml:space="preserve">Charity </w:t>
      </w:r>
      <w:proofErr w:type="spellStart"/>
      <w:r w:rsidRPr="002A7A7C">
        <w:t>Atteberry</w:t>
      </w:r>
      <w:proofErr w:type="spellEnd"/>
      <w:r w:rsidRPr="002A7A7C">
        <w:t>, Academic Advisor (Spring-only)</w:t>
      </w:r>
    </w:p>
    <w:p w14:paraId="1D26D091" w14:textId="389E104B" w:rsidR="005C7AF1" w:rsidRDefault="00543B82" w:rsidP="005C7AF1">
      <w:pPr>
        <w:pStyle w:val="Heading2"/>
      </w:pPr>
      <w:r>
        <w:br/>
      </w:r>
      <w:r w:rsidR="005C7AF1">
        <w:t>Writing Center Annual Report</w:t>
      </w:r>
    </w:p>
    <w:p w14:paraId="751C0544" w14:textId="5D926481" w:rsidR="005C7AF1" w:rsidRDefault="005C7AF1" w:rsidP="005C7AF1">
      <w:r>
        <w:t xml:space="preserve">In accordance with the Committee’s charge to monitor the programs of the Writing Center, the committee was provided with the </w:t>
      </w:r>
      <w:hyperlink r:id="rId6" w:history="1">
        <w:r>
          <w:rPr>
            <w:rStyle w:val="Hyperlink"/>
          </w:rPr>
          <w:t xml:space="preserve"> Writing Center’s annual report</w:t>
        </w:r>
      </w:hyperlink>
      <w:r>
        <w:t xml:space="preserve">  to review. The total number of student visits for the academic year was over 5,000. The Center experienced an 88% growth rate since 2008. Graduate students had the highest </w:t>
      </w:r>
      <w:r w:rsidR="008E3620">
        <w:t xml:space="preserve">rate of </w:t>
      </w:r>
      <w:r>
        <w:t xml:space="preserve">increase </w:t>
      </w:r>
      <w:r w:rsidR="008E3620">
        <w:t xml:space="preserve">for </w:t>
      </w:r>
      <w:r>
        <w:t>visit</w:t>
      </w:r>
      <w:r w:rsidR="008E3620">
        <w:t>s</w:t>
      </w:r>
      <w:r>
        <w:t xml:space="preserve">.   This year’s report includes </w:t>
      </w:r>
      <w:proofErr w:type="gramStart"/>
      <w:r>
        <w:t>assessment</w:t>
      </w:r>
      <w:proofErr w:type="gramEnd"/>
      <w:r>
        <w:t xml:space="preserve"> of students writing / behavior after visiting the Writing Center.   The Writing Center was awarded the Roving </w:t>
      </w:r>
      <w:proofErr w:type="spellStart"/>
      <w:r>
        <w:t>Griz</w:t>
      </w:r>
      <w:proofErr w:type="spellEnd"/>
      <w:r>
        <w:t xml:space="preserve"> Award from Disability Services for Students.  </w:t>
      </w:r>
      <w:r>
        <w:rPr>
          <w:rFonts w:cs="Arial"/>
          <w:color w:val="000000"/>
        </w:rPr>
        <w:t xml:space="preserve">The Roving </w:t>
      </w:r>
      <w:proofErr w:type="spellStart"/>
      <w:r>
        <w:rPr>
          <w:rFonts w:cs="Arial"/>
          <w:color w:val="000000"/>
        </w:rPr>
        <w:t>Griz</w:t>
      </w:r>
      <w:proofErr w:type="spellEnd"/>
      <w:r>
        <w:rPr>
          <w:rFonts w:cs="Arial"/>
          <w:color w:val="000000"/>
        </w:rPr>
        <w:t xml:space="preserve"> Award recognizes the commitment of staff and administrators to </w:t>
      </w:r>
      <w:proofErr w:type="spellStart"/>
      <w:proofErr w:type="gramStart"/>
      <w:r>
        <w:rPr>
          <w:rFonts w:cs="Arial"/>
          <w:color w:val="000000"/>
        </w:rPr>
        <w:t>UM’s</w:t>
      </w:r>
      <w:proofErr w:type="spellEnd"/>
      <w:proofErr w:type="gramEnd"/>
      <w:r>
        <w:rPr>
          <w:rFonts w:cs="Arial"/>
          <w:color w:val="000000"/>
        </w:rPr>
        <w:t xml:space="preserve"> Quality of </w:t>
      </w:r>
      <w:proofErr w:type="spellStart"/>
      <w:r>
        <w:rPr>
          <w:rFonts w:cs="Arial"/>
          <w:color w:val="000000"/>
        </w:rPr>
        <w:t>Worklife</w:t>
      </w:r>
      <w:proofErr w:type="spellEnd"/>
      <w:r>
        <w:rPr>
          <w:rFonts w:cs="Arial"/>
          <w:color w:val="000000"/>
        </w:rPr>
        <w:t xml:space="preserve"> Initiative, which has the mission of creating and maintaining a work environment that allows faculty and staff to achieve the highest levels of satisfaction.</w:t>
      </w:r>
    </w:p>
    <w:p w14:paraId="4F03038E" w14:textId="3C0C22C1" w:rsidR="00FE32A2" w:rsidRDefault="00543B82" w:rsidP="00FE32A2">
      <w:pPr>
        <w:pStyle w:val="Heading2"/>
      </w:pPr>
      <w:r>
        <w:br/>
      </w:r>
      <w:r w:rsidR="00FE32A2">
        <w:t xml:space="preserve">Writing Course Review </w:t>
      </w:r>
    </w:p>
    <w:p w14:paraId="41AC302F" w14:textId="3DFC5EA1" w:rsidR="00FE32A2" w:rsidRDefault="00FE32A2" w:rsidP="00FE32A2">
      <w:r>
        <w:t xml:space="preserve">The rolling review of Literature and Composition courses was suspended.  </w:t>
      </w:r>
      <w:r w:rsidR="00762CFF">
        <w:t>Five</w:t>
      </w:r>
      <w:r>
        <w:t xml:space="preserve"> new intermediate and 2 new advanced writing courses were approved.  </w:t>
      </w:r>
      <w:r w:rsidR="002A7A7C">
        <w:t xml:space="preserve"> Review data for the intermediate writing courses was entered into a </w:t>
      </w:r>
      <w:proofErr w:type="spellStart"/>
      <w:r w:rsidR="002A7A7C">
        <w:t>Qualtrics</w:t>
      </w:r>
      <w:proofErr w:type="spellEnd"/>
      <w:r w:rsidR="002A7A7C">
        <w:t xml:space="preserve"> form for inclusion in the </w:t>
      </w:r>
      <w:proofErr w:type="spellStart"/>
      <w:r w:rsidR="002A7A7C">
        <w:t>UPWA</w:t>
      </w:r>
      <w:proofErr w:type="spellEnd"/>
      <w:r w:rsidR="002A7A7C">
        <w:t xml:space="preserve"> analysis. </w:t>
      </w:r>
      <w:r w:rsidR="00244891">
        <w:t xml:space="preserve"> </w:t>
      </w:r>
      <w:r w:rsidR="00244891">
        <w:br/>
      </w:r>
      <w:r w:rsidR="00244891">
        <w:br/>
        <w:t>The Committee agreed to transition into a seven year review cycle to be consistent to the General Education Committee</w:t>
      </w:r>
    </w:p>
    <w:p w14:paraId="63C6D37B" w14:textId="2D8AAC99" w:rsidR="00FE32A2" w:rsidRDefault="00543B82" w:rsidP="002A7A7C">
      <w:pPr>
        <w:pStyle w:val="Heading2"/>
      </w:pPr>
      <w:r>
        <w:lastRenderedPageBreak/>
        <w:br/>
      </w:r>
      <w:proofErr w:type="spellStart"/>
      <w:r w:rsidR="00FE32A2">
        <w:t>MUS</w:t>
      </w:r>
      <w:proofErr w:type="spellEnd"/>
      <w:r w:rsidR="00FE32A2">
        <w:t xml:space="preserve"> Core Audit</w:t>
      </w:r>
    </w:p>
    <w:p w14:paraId="5DAC076C" w14:textId="77777777" w:rsidR="00FE32A2" w:rsidRDefault="00FE32A2" w:rsidP="00FE32A2">
      <w:proofErr w:type="spellStart"/>
      <w:r>
        <w:t>BMGT</w:t>
      </w:r>
      <w:proofErr w:type="spellEnd"/>
      <w:r>
        <w:t xml:space="preserve"> 205 </w:t>
      </w:r>
      <w:r w:rsidRPr="00344BA0">
        <w:rPr>
          <w:i/>
        </w:rPr>
        <w:t>Business Communication</w:t>
      </w:r>
      <w:r>
        <w:t xml:space="preserve"> and JOUR 270 </w:t>
      </w:r>
      <w:r w:rsidRPr="00344BA0">
        <w:rPr>
          <w:i/>
        </w:rPr>
        <w:t>Reporting</w:t>
      </w:r>
      <w:r>
        <w:t xml:space="preserve"> were added to the </w:t>
      </w:r>
      <w:proofErr w:type="spellStart"/>
      <w:r>
        <w:t>MUS</w:t>
      </w:r>
      <w:proofErr w:type="spellEnd"/>
      <w:r>
        <w:t xml:space="preserve"> Core Oral/Writing Communication category as a result of the audit requested by </w:t>
      </w:r>
      <w:proofErr w:type="spellStart"/>
      <w:r>
        <w:t>OCHE</w:t>
      </w:r>
      <w:proofErr w:type="spellEnd"/>
      <w:r>
        <w:t>.</w:t>
      </w:r>
    </w:p>
    <w:p w14:paraId="4D3389E6" w14:textId="094B6C69" w:rsidR="00FE32A2" w:rsidRDefault="00543B82" w:rsidP="00140815">
      <w:pPr>
        <w:pStyle w:val="Heading2"/>
      </w:pPr>
      <w:r>
        <w:br/>
      </w:r>
      <w:r w:rsidR="00140815">
        <w:t>Revision to the Writing Transfer Appeal Procedure</w:t>
      </w:r>
    </w:p>
    <w:p w14:paraId="4D3E23CE" w14:textId="77777777" w:rsidR="00FE32A2" w:rsidRDefault="00FE32A2" w:rsidP="00140815">
      <w:r>
        <w:t xml:space="preserve">The committee considered and approved the revised Transfer Appeal Procedure.    The </w:t>
      </w:r>
      <w:r w:rsidR="00140815">
        <w:t>revision was sent back to committee by ECOS for additional editing.   Th</w:t>
      </w:r>
      <w:r w:rsidR="006B4CF8">
        <w:t>e</w:t>
      </w:r>
      <w:r w:rsidR="00140815">
        <w:t xml:space="preserve"> final revision </w:t>
      </w:r>
      <w:hyperlink r:id="rId7" w:history="1">
        <w:r w:rsidR="00140815" w:rsidRPr="00140815">
          <w:rPr>
            <w:rStyle w:val="Hyperlink"/>
          </w:rPr>
          <w:t>Writing Course Exemption Appeal Guidelines</w:t>
        </w:r>
      </w:hyperlink>
      <w:r w:rsidR="00140815">
        <w:t xml:space="preserve"> was approved by the Faculty Senate on 12/8/16.</w:t>
      </w:r>
    </w:p>
    <w:p w14:paraId="0DCBABC2" w14:textId="1CD743A9" w:rsidR="00244891" w:rsidRDefault="00543B82" w:rsidP="00244891">
      <w:r>
        <w:rPr>
          <w:rStyle w:val="Heading2Char"/>
        </w:rPr>
        <w:br/>
      </w:r>
      <w:r w:rsidR="00140815" w:rsidRPr="00244891">
        <w:rPr>
          <w:rStyle w:val="Heading2Char"/>
        </w:rPr>
        <w:t xml:space="preserve">Writing Transfer </w:t>
      </w:r>
      <w:r w:rsidR="00FE32A2" w:rsidRPr="00244891">
        <w:rPr>
          <w:rStyle w:val="Heading2Char"/>
        </w:rPr>
        <w:t>Appeal</w:t>
      </w:r>
      <w:r w:rsidR="00244891">
        <w:br/>
        <w:t xml:space="preserve">The Appeal Workgroup considered and approved one transfer appeal this year. </w:t>
      </w:r>
    </w:p>
    <w:p w14:paraId="597DA7DE" w14:textId="1B22544E" w:rsidR="00A03735" w:rsidRDefault="00874758" w:rsidP="008E3620">
      <w:r>
        <w:rPr>
          <w:rFonts w:cs="Arial"/>
          <w:color w:val="000000"/>
        </w:rPr>
        <w:br/>
      </w:r>
      <w:r w:rsidRPr="00874758">
        <w:rPr>
          <w:rStyle w:val="Heading2Char"/>
        </w:rPr>
        <w:t xml:space="preserve">Writing Placement </w:t>
      </w:r>
      <w:r w:rsidR="006C7B74">
        <w:rPr>
          <w:rStyle w:val="Heading2Char"/>
        </w:rPr>
        <w:t>Assessment</w:t>
      </w:r>
      <w:r w:rsidR="00A03735">
        <w:rPr>
          <w:rStyle w:val="Heading2Char"/>
        </w:rPr>
        <w:br/>
      </w:r>
      <w:r w:rsidR="00FE32A2">
        <w:t xml:space="preserve">In the past the </w:t>
      </w:r>
      <w:r w:rsidR="006C7B74">
        <w:t xml:space="preserve">placement </w:t>
      </w:r>
      <w:r w:rsidR="00FE32A2">
        <w:t xml:space="preserve">assessment </w:t>
      </w:r>
      <w:r w:rsidR="006C7B74">
        <w:t xml:space="preserve">for incoming students </w:t>
      </w:r>
      <w:r w:rsidR="00FE32A2">
        <w:t xml:space="preserve">was a </w:t>
      </w:r>
      <w:r w:rsidR="008E3620">
        <w:t xml:space="preserve">50-minute </w:t>
      </w:r>
      <w:r w:rsidR="00FE32A2">
        <w:t>timed</w:t>
      </w:r>
      <w:r w:rsidR="008E3620">
        <w:t>,</w:t>
      </w:r>
      <w:r w:rsidR="00FE32A2">
        <w:t xml:space="preserve"> hand written </w:t>
      </w:r>
      <w:r w:rsidR="008E3620">
        <w:t>essay</w:t>
      </w:r>
      <w:r w:rsidR="00FE32A2">
        <w:t xml:space="preserve">.  In </w:t>
      </w:r>
      <w:r w:rsidR="008E3620">
        <w:t xml:space="preserve">order to align the assessment process with the pedagogical outcomes of the WRIT program, </w:t>
      </w:r>
      <w:r w:rsidR="00FE32A2">
        <w:t xml:space="preserve">the </w:t>
      </w:r>
      <w:r w:rsidR="008E3620">
        <w:t xml:space="preserve">placement team piloted an untimed, Moodle-based, electronic assessment beginning in January 2016. </w:t>
      </w:r>
      <w:r w:rsidR="00FE32A2">
        <w:t xml:space="preserve">  </w:t>
      </w:r>
      <w:r w:rsidR="008E3620">
        <w:t>Offered as an alternative to the handwritten essay, the electronic assessment is now offered almost monthly throughout the academic year.</w:t>
      </w:r>
      <w:r w:rsidR="00543B82">
        <w:t xml:space="preserve"> In January </w:t>
      </w:r>
      <w:bookmarkStart w:id="0" w:name="_GoBack"/>
      <w:bookmarkEnd w:id="0"/>
      <w:r w:rsidR="008E3620">
        <w:t>2017, the writing placement assessment began a collaboration with Missoula College, Bitterroot College, and the duel enrollment program; the placement assessment now serves all regional students.</w:t>
      </w:r>
    </w:p>
    <w:p w14:paraId="682F1908" w14:textId="5665DCDF" w:rsidR="00344207" w:rsidRPr="00344207" w:rsidRDefault="00FE32A2" w:rsidP="00344207">
      <w:pPr>
        <w:rPr>
          <w:rFonts w:ascii="Calibri" w:hAnsi="Calibri" w:cs="Times New Roman"/>
          <w:color w:val="000000"/>
          <w:sz w:val="24"/>
          <w:szCs w:val="24"/>
        </w:rPr>
      </w:pPr>
      <w:r>
        <w:br/>
      </w:r>
      <w:r w:rsidR="00874758" w:rsidRPr="00874758">
        <w:rPr>
          <w:rStyle w:val="Heading2Char"/>
        </w:rPr>
        <w:t xml:space="preserve">Writing Symposium </w:t>
      </w:r>
      <w:r w:rsidR="00874758">
        <w:br/>
      </w:r>
      <w:r w:rsidR="00344207" w:rsidRPr="00344207">
        <w:rPr>
          <w:rFonts w:ascii="Calibri" w:hAnsi="Calibri" w:cs="Times New Roman"/>
          <w:color w:val="000000"/>
        </w:rPr>
        <w:t xml:space="preserve">The third annual Fall Writing Symposium was held on Wednesday, November 3. The Writing Symposium is an annual gathering designed to foster a constructive shared conversation about the teaching of writing across disciplines. Specifically, the topics of this year’s conversation were derived from the findings of the </w:t>
      </w:r>
      <w:proofErr w:type="gramStart"/>
      <w:r w:rsidR="00344207" w:rsidRPr="00344207">
        <w:rPr>
          <w:rFonts w:ascii="Calibri" w:hAnsi="Calibri" w:cs="Times New Roman"/>
          <w:color w:val="000000"/>
        </w:rPr>
        <w:t>Spring</w:t>
      </w:r>
      <w:proofErr w:type="gramEnd"/>
      <w:r w:rsidR="00344207" w:rsidRPr="00344207">
        <w:rPr>
          <w:rFonts w:ascii="Calibri" w:hAnsi="Calibri" w:cs="Times New Roman"/>
          <w:color w:val="000000"/>
        </w:rPr>
        <w:t xml:space="preserve"> 2016 University-wide Program-specific Assessment (</w:t>
      </w:r>
      <w:proofErr w:type="spellStart"/>
      <w:r w:rsidR="00344207" w:rsidRPr="00344207">
        <w:rPr>
          <w:rFonts w:ascii="Calibri" w:hAnsi="Calibri" w:cs="Times New Roman"/>
          <w:color w:val="000000"/>
        </w:rPr>
        <w:t>UPWA</w:t>
      </w:r>
      <w:proofErr w:type="spellEnd"/>
      <w:r w:rsidR="00344207" w:rsidRPr="00344207">
        <w:rPr>
          <w:rFonts w:ascii="Calibri" w:hAnsi="Calibri" w:cs="Times New Roman"/>
          <w:color w:val="000000"/>
        </w:rPr>
        <w:t xml:space="preserve">) of Intermediate Writing Courses at the University of Montana. Analysis of the </w:t>
      </w:r>
      <w:proofErr w:type="spellStart"/>
      <w:r w:rsidR="00344207" w:rsidRPr="00344207">
        <w:rPr>
          <w:rFonts w:ascii="Calibri" w:hAnsi="Calibri" w:cs="Times New Roman"/>
          <w:color w:val="000000"/>
        </w:rPr>
        <w:t>UPWA</w:t>
      </w:r>
      <w:proofErr w:type="spellEnd"/>
      <w:r w:rsidR="00344207" w:rsidRPr="00344207">
        <w:rPr>
          <w:rFonts w:ascii="Calibri" w:hAnsi="Calibri" w:cs="Times New Roman"/>
          <w:color w:val="000000"/>
        </w:rPr>
        <w:t xml:space="preserve"> findings showed that students in Intermediate Writing Courses at UM struggled to express their ideas in an organized fashion. It also showed that students who revise their work submitted stronger writing samples. </w:t>
      </w:r>
    </w:p>
    <w:p w14:paraId="71E02437" w14:textId="77777777" w:rsidR="00344207" w:rsidRPr="00344207" w:rsidRDefault="00344207" w:rsidP="00344207">
      <w:pPr>
        <w:spacing w:after="0" w:line="240" w:lineRule="auto"/>
        <w:rPr>
          <w:rFonts w:ascii="Calibri" w:hAnsi="Calibri" w:cs="Times New Roman"/>
          <w:color w:val="000000"/>
          <w:sz w:val="24"/>
          <w:szCs w:val="24"/>
        </w:rPr>
      </w:pPr>
      <w:r w:rsidRPr="00344207">
        <w:rPr>
          <w:rFonts w:ascii="Calibri" w:hAnsi="Calibri" w:cs="Times New Roman"/>
          <w:color w:val="000000"/>
        </w:rPr>
        <w:t> </w:t>
      </w:r>
    </w:p>
    <w:p w14:paraId="3EDA49CB" w14:textId="77777777" w:rsidR="00344207" w:rsidRPr="00344207" w:rsidRDefault="00344207" w:rsidP="00344207">
      <w:pPr>
        <w:spacing w:after="0" w:line="240" w:lineRule="auto"/>
        <w:rPr>
          <w:rFonts w:ascii="Calibri" w:hAnsi="Calibri" w:cs="Times New Roman"/>
          <w:color w:val="000000"/>
          <w:sz w:val="24"/>
          <w:szCs w:val="24"/>
        </w:rPr>
      </w:pPr>
      <w:r w:rsidRPr="00344207">
        <w:rPr>
          <w:rFonts w:ascii="Calibri" w:hAnsi="Calibri" w:cs="Times New Roman"/>
          <w:color w:val="000000"/>
        </w:rPr>
        <w:t xml:space="preserve">Based on the </w:t>
      </w:r>
      <w:proofErr w:type="spellStart"/>
      <w:r w:rsidRPr="00344207">
        <w:rPr>
          <w:rFonts w:ascii="Calibri" w:hAnsi="Calibri" w:cs="Times New Roman"/>
          <w:color w:val="000000"/>
        </w:rPr>
        <w:t>UPWA</w:t>
      </w:r>
      <w:proofErr w:type="spellEnd"/>
      <w:r w:rsidRPr="00344207">
        <w:rPr>
          <w:rFonts w:ascii="Calibri" w:hAnsi="Calibri" w:cs="Times New Roman"/>
          <w:color w:val="000000"/>
        </w:rPr>
        <w:t xml:space="preserve"> findings, Symposium attendees were asked to reflect upon and discuss their difficulties, strategies, and successes with teaching revision and organization in their classes. There were 30 attendees this year. The group was comprised of a strong-cross section of writing instructors at UM; it included faculty, lecturers, staff, and graduate students from 19 different disciplines and programs (Anthropology, Maureen and Mike Mansfield Library, Pharmacy Practice, Biological Sciences, English, Health and Human Performance, Applied Arts and Sciences, Journalism, Writing Center, Liberal Studies, </w:t>
      </w:r>
      <w:r w:rsidRPr="00344207">
        <w:rPr>
          <w:rFonts w:ascii="Calibri" w:hAnsi="Calibri" w:cs="Times New Roman"/>
          <w:color w:val="000000"/>
        </w:rPr>
        <w:lastRenderedPageBreak/>
        <w:t>Intercollegiate Athletics, Economics, History, Forestry Management, African American Studies, Curriculum and Instruction, and Theater and Dance). </w:t>
      </w:r>
    </w:p>
    <w:p w14:paraId="574DB54E" w14:textId="77777777" w:rsidR="00344207" w:rsidRPr="00344207" w:rsidRDefault="00344207" w:rsidP="00344207">
      <w:pPr>
        <w:spacing w:after="0" w:line="240" w:lineRule="auto"/>
        <w:rPr>
          <w:rFonts w:ascii="Calibri" w:hAnsi="Calibri" w:cs="Times New Roman"/>
          <w:color w:val="000000"/>
          <w:sz w:val="24"/>
          <w:szCs w:val="24"/>
        </w:rPr>
      </w:pPr>
      <w:r w:rsidRPr="00344207">
        <w:rPr>
          <w:rFonts w:ascii="Calibri" w:hAnsi="Calibri" w:cs="Times New Roman"/>
          <w:color w:val="000000"/>
        </w:rPr>
        <w:t> </w:t>
      </w:r>
    </w:p>
    <w:p w14:paraId="5B3152E4" w14:textId="77777777" w:rsidR="00344207" w:rsidRPr="00344207" w:rsidRDefault="00344207" w:rsidP="00344207">
      <w:pPr>
        <w:spacing w:after="0" w:line="240" w:lineRule="auto"/>
        <w:rPr>
          <w:rFonts w:ascii="Calibri" w:hAnsi="Calibri" w:cs="Times New Roman"/>
          <w:color w:val="000000"/>
          <w:sz w:val="24"/>
          <w:szCs w:val="24"/>
        </w:rPr>
      </w:pPr>
      <w:r w:rsidRPr="00344207">
        <w:rPr>
          <w:rFonts w:ascii="Calibri" w:hAnsi="Calibri" w:cs="Times New Roman"/>
          <w:color w:val="000000"/>
        </w:rPr>
        <w:t>The beginning of the Symposium included a panel of students who talked about their experiences as writers at UM. The students shared their ideas about organization and revision in their writing, then took questions from the faculty. Afterward, faculty moved into breakout discussion groups in order to respond to questions raised in the panel and to explore their experiences teaching organization and revision.  At the end of the event, each group shared their favorite strategy for teaching writing and made a plan to compile resources for everyone to explore. Throughout the event assigned faculty members were recording notes about the discussion topics, questions, and strategies. A digested and edited compilation of these notes will be distributed to all attendees.</w:t>
      </w:r>
    </w:p>
    <w:p w14:paraId="449DD135" w14:textId="4ABCBEE2" w:rsidR="00A03735" w:rsidRDefault="00A03735" w:rsidP="00FE32A2">
      <w:r>
        <w:br/>
      </w:r>
    </w:p>
    <w:p w14:paraId="756FA4C2" w14:textId="77777777" w:rsidR="00FE32A2" w:rsidRDefault="00874758" w:rsidP="00874758">
      <w:pPr>
        <w:pStyle w:val="Heading2"/>
      </w:pPr>
      <w:r>
        <w:t>27 Credit Exemption Rule</w:t>
      </w:r>
    </w:p>
    <w:p w14:paraId="5710A3C1" w14:textId="45F3CD73" w:rsidR="00A03735" w:rsidRDefault="00FE32A2" w:rsidP="00FE32A2">
      <w:r>
        <w:t>The current 27 transfer credit rule which exempts students from the intermediate writing requirement was created in 2000-2001</w:t>
      </w:r>
      <w:r w:rsidR="00A03735">
        <w:t xml:space="preserve"> </w:t>
      </w:r>
      <w:r>
        <w:t xml:space="preserve">when the general education requirements in the perspectives was 27 credits.  Transfer students were required to complete all general education </w:t>
      </w:r>
      <w:r w:rsidR="00344207">
        <w:t xml:space="preserve">courses (?) </w:t>
      </w:r>
      <w:r>
        <w:t>except those transferring an approved lower-division general education requirement had only to complete the writing assessment and upper-division major writing requirement.  Th</w:t>
      </w:r>
      <w:r w:rsidR="00A03735">
        <w:t xml:space="preserve">e </w:t>
      </w:r>
      <w:r>
        <w:t xml:space="preserve">rule </w:t>
      </w:r>
      <w:r w:rsidR="00A03735">
        <w:t xml:space="preserve">is </w:t>
      </w:r>
      <w:r>
        <w:t>outdated</w:t>
      </w:r>
      <w:r w:rsidR="00A03735">
        <w:t xml:space="preserve"> and lacks a logical rational</w:t>
      </w:r>
      <w:r w:rsidR="00344207">
        <w:t xml:space="preserve"> because</w:t>
      </w:r>
      <w:r w:rsidR="00A03735">
        <w:t xml:space="preserve"> transfer students are not exempted from WRIT 101 and the intent of the writing program is for students to take the courses in sequence.  There is a transfer placement exam in place for students who have not taken WRIT 101 or an equivalent course.   </w:t>
      </w:r>
      <w:r w:rsidR="00A03735">
        <w:br/>
      </w:r>
      <w:r w:rsidR="00A03735">
        <w:br/>
        <w:t xml:space="preserve">Academic advisors were asked about the possibility of eliminating the 27 credit rule exception from intermediate writing and were in favor.  The Writing Committee requested data on how exempted students performed on subsequent writing courses, but is still waiting for the data.  There was concern that eliminating the rule would increase appeals. </w:t>
      </w:r>
    </w:p>
    <w:p w14:paraId="346717ED" w14:textId="77777777" w:rsidR="00A03735" w:rsidRDefault="00A03735" w:rsidP="00FE32A2">
      <w:proofErr w:type="spellStart"/>
      <w:r>
        <w:t>ASCRC</w:t>
      </w:r>
      <w:proofErr w:type="spellEnd"/>
      <w:r>
        <w:t xml:space="preserve"> requested that the committee investigate a mechanism that allowed students to test out of the requirement if the rule is eliminated. </w:t>
      </w:r>
    </w:p>
    <w:p w14:paraId="274E7A5C" w14:textId="3AB15C7F" w:rsidR="00543B82" w:rsidRDefault="00543B82" w:rsidP="00A03735">
      <w:pPr>
        <w:rPr>
          <w:rStyle w:val="Heading2Char"/>
        </w:rPr>
      </w:pPr>
      <w:r>
        <w:rPr>
          <w:rStyle w:val="Heading2Char"/>
        </w:rPr>
        <w:br/>
      </w:r>
      <w:r w:rsidR="00A03735" w:rsidRPr="00A03735">
        <w:rPr>
          <w:rStyle w:val="Heading2Char"/>
        </w:rPr>
        <w:t xml:space="preserve">Mandate from </w:t>
      </w:r>
      <w:proofErr w:type="spellStart"/>
      <w:r w:rsidR="00A03735" w:rsidRPr="00A03735">
        <w:rPr>
          <w:rStyle w:val="Heading2Char"/>
        </w:rPr>
        <w:t>OCHE</w:t>
      </w:r>
      <w:proofErr w:type="spellEnd"/>
      <w:r w:rsidR="00A03735">
        <w:br/>
      </w:r>
      <w:r w:rsidR="00FE32A2">
        <w:t xml:space="preserve">Deputy Commissioner </w:t>
      </w:r>
      <w:proofErr w:type="spellStart"/>
      <w:r w:rsidR="00FE32A2">
        <w:t>Cech</w:t>
      </w:r>
      <w:proofErr w:type="spellEnd"/>
      <w:r w:rsidR="00A03735">
        <w:t xml:space="preserve"> sent a message to Interim Provost Edmond indicating </w:t>
      </w:r>
      <w:r w:rsidR="00FE32A2">
        <w:t xml:space="preserve">UM is in violation </w:t>
      </w:r>
      <w:proofErr w:type="gramStart"/>
      <w:r w:rsidR="00FE32A2">
        <w:t xml:space="preserve">of  </w:t>
      </w:r>
      <w:proofErr w:type="spellStart"/>
      <w:r w:rsidR="00FE32A2">
        <w:t>BOR</w:t>
      </w:r>
      <w:proofErr w:type="spellEnd"/>
      <w:proofErr w:type="gramEnd"/>
      <w:r w:rsidR="00FE32A2">
        <w:t xml:space="preserve"> policy 301.5.5</w:t>
      </w:r>
      <w:r w:rsidR="00344207">
        <w:t xml:space="preserve"> which requires that </w:t>
      </w:r>
      <w:r w:rsidR="00FE32A2">
        <w:t xml:space="preserve">courses determined to be equivalent shall be accepted as if the course had been taken at the receiving campus.  In particular this means students </w:t>
      </w:r>
      <w:r w:rsidR="00344207">
        <w:t xml:space="preserve">who are </w:t>
      </w:r>
      <w:r w:rsidR="00FE32A2">
        <w:t>transferring a course</w:t>
      </w:r>
      <w:r w:rsidR="00344207">
        <w:t xml:space="preserve"> from in-state</w:t>
      </w:r>
      <w:r w:rsidR="00FE32A2">
        <w:t xml:space="preserve"> that is an intermediate writing course at UM will not be required to submit additional documentation to demonstrate the course met the requirement.  </w:t>
      </w:r>
      <w:r w:rsidR="00EB7B83">
        <w:t xml:space="preserve"> The Writing Committee sent a communication to advisors, admissions, and affected departments informing them of the mandate. There were questions regarding</w:t>
      </w:r>
      <w:r w:rsidR="00F45673">
        <w:t xml:space="preserve"> whether this affected current transfer students, how this would be enforced, and whether it would apply to out-of-state transfer students. </w:t>
      </w:r>
      <w:r w:rsidR="00A03735">
        <w:br/>
      </w:r>
      <w:r w:rsidR="00A03735">
        <w:br/>
      </w:r>
    </w:p>
    <w:p w14:paraId="720DBFC1" w14:textId="08B8F590" w:rsidR="00EB7B83" w:rsidRDefault="00EB7B83" w:rsidP="00A03735">
      <w:pPr>
        <w:rPr>
          <w:i/>
          <w:color w:val="4F81BD" w:themeColor="accent1"/>
        </w:rPr>
      </w:pPr>
      <w:r w:rsidRPr="00EB7B83">
        <w:rPr>
          <w:rStyle w:val="Heading2Char"/>
        </w:rPr>
        <w:lastRenderedPageBreak/>
        <w:t xml:space="preserve">LIT 110 Transfers </w:t>
      </w:r>
      <w:r>
        <w:rPr>
          <w:i/>
          <w:color w:val="4F81BD" w:themeColor="accent1"/>
        </w:rPr>
        <w:br/>
      </w:r>
      <w:r>
        <w:t>Chair Brown met with the Director of Literature, Professor Baker</w:t>
      </w:r>
      <w:r w:rsidR="00344207">
        <w:t>,</w:t>
      </w:r>
      <w:r>
        <w:t xml:space="preserve"> to discuss the problematic nature of the intermediate writing designation for LIT 110 due to </w:t>
      </w:r>
      <w:r w:rsidR="00344207">
        <w:t>c</w:t>
      </w:r>
      <w:r>
        <w:t xml:space="preserve">ommon course numbering.   It would not be feasible for the department to change the course to 200-level because of the way it falls within the major.  The course is a good entry for students into the Literature program and the intermediate writing status draws students to the course.  However, it is problematic now that students transferring from other </w:t>
      </w:r>
      <w:proofErr w:type="spellStart"/>
      <w:r>
        <w:t>MUS</w:t>
      </w:r>
      <w:proofErr w:type="spellEnd"/>
      <w:r>
        <w:t xml:space="preserve"> institutions with the course will get intermediate writing credit. </w:t>
      </w:r>
      <w:r w:rsidR="00344207">
        <w:t>The Literature program is open to changes in this course and is considering its options for the 2018-2019 AY.</w:t>
      </w:r>
    </w:p>
    <w:p w14:paraId="623B956F" w14:textId="580D0C28" w:rsidR="00FE32A2" w:rsidRDefault="00543B82" w:rsidP="00A03735">
      <w:pPr>
        <w:pStyle w:val="Heading2"/>
      </w:pPr>
      <w:r>
        <w:br/>
      </w:r>
      <w:r w:rsidR="00A03735">
        <w:t>Plagiarism Discussion</w:t>
      </w:r>
    </w:p>
    <w:p w14:paraId="22E0BA9D" w14:textId="77777777" w:rsidR="00A03735" w:rsidRDefault="00A03735" w:rsidP="00A03735">
      <w:r>
        <w:t xml:space="preserve">The Committee discussed the need for improving campus information regarding plagiarism.  Some possibilities include offering plagiarism workshops, creating a chart similar to </w:t>
      </w:r>
      <w:proofErr w:type="spellStart"/>
      <w:r>
        <w:t>SKC’s</w:t>
      </w:r>
      <w:proofErr w:type="spellEnd"/>
      <w:r>
        <w:t xml:space="preserve"> that identifies the different levels of plagiarism and the consequence / remediation that includes links to resources.  Professor Ratto-Parks sent the link to a </w:t>
      </w:r>
      <w:hyperlink r:id="rId8" w:history="1">
        <w:r w:rsidRPr="00EA6F68">
          <w:rPr>
            <w:rStyle w:val="Hyperlink"/>
          </w:rPr>
          <w:t>chart</w:t>
        </w:r>
      </w:hyperlink>
      <w:r>
        <w:rPr>
          <w:rStyle w:val="Hyperlink"/>
        </w:rPr>
        <w:t xml:space="preserve"> </w:t>
      </w:r>
      <w:r>
        <w:t>used in WRIT courses.   There is a plagiarism policy in the student conduct code and the Writing Center has resources.</w:t>
      </w:r>
      <w:r w:rsidRPr="00A03735">
        <w:t xml:space="preserve"> </w:t>
      </w:r>
      <w:r>
        <w:t xml:space="preserve">Students need to hear a consistent message from faculty.  More communication is needed to ensure everyone has the same understanding.  </w:t>
      </w:r>
    </w:p>
    <w:p w14:paraId="2263D31B" w14:textId="07985245" w:rsidR="00A03735" w:rsidRDefault="00543B82" w:rsidP="00A03735">
      <w:pPr>
        <w:pStyle w:val="Heading2"/>
      </w:pPr>
      <w:r>
        <w:br/>
      </w:r>
      <w:r w:rsidR="00A03735">
        <w:t>Consistent Language</w:t>
      </w:r>
    </w:p>
    <w:p w14:paraId="6AA683E1" w14:textId="233A2106" w:rsidR="00F45673" w:rsidRDefault="00FE32A2" w:rsidP="00A03735">
      <w:r>
        <w:t xml:space="preserve">A workgroup </w:t>
      </w:r>
      <w:r w:rsidR="00A03735">
        <w:t>review</w:t>
      </w:r>
      <w:r w:rsidR="00344207">
        <w:t>ed</w:t>
      </w:r>
      <w:r w:rsidR="00A03735">
        <w:t xml:space="preserve"> the various Writing Committee documents and forms available online for consistency and needed edits. </w:t>
      </w:r>
    </w:p>
    <w:p w14:paraId="501B2400" w14:textId="7998DE94" w:rsidR="00FE32A2" w:rsidRDefault="00543B82" w:rsidP="00A03735">
      <w:r>
        <w:rPr>
          <w:rStyle w:val="Heading2Char"/>
        </w:rPr>
        <w:br/>
      </w:r>
      <w:r w:rsidR="00F45673" w:rsidRPr="00F45673">
        <w:rPr>
          <w:rStyle w:val="Heading2Char"/>
        </w:rPr>
        <w:t>Accreditation Report / Visit</w:t>
      </w:r>
      <w:r w:rsidR="00F45673">
        <w:br/>
      </w:r>
      <w:proofErr w:type="gramStart"/>
      <w:r w:rsidR="00F45673">
        <w:t>The</w:t>
      </w:r>
      <w:proofErr w:type="gramEnd"/>
      <w:r w:rsidR="00F45673">
        <w:t xml:space="preserve"> committee was asked to review the draft accreditation report and provide feedback.  It met with the accreditation visitors on May 1</w:t>
      </w:r>
      <w:r w:rsidR="00F45673" w:rsidRPr="00F45673">
        <w:rPr>
          <w:vertAlign w:val="superscript"/>
        </w:rPr>
        <w:t>st</w:t>
      </w:r>
      <w:r w:rsidR="00F45673">
        <w:t xml:space="preserve"> to discuss writing assessment. </w:t>
      </w:r>
      <w:r w:rsidR="00A03735">
        <w:br/>
      </w:r>
    </w:p>
    <w:p w14:paraId="789FD8D6" w14:textId="77777777" w:rsidR="00543B82" w:rsidRDefault="00543B82" w:rsidP="00A03735"/>
    <w:p w14:paraId="196F5A47" w14:textId="500B2EBE" w:rsidR="00244891" w:rsidRDefault="00A03735" w:rsidP="00543B82">
      <w:pPr>
        <w:pStyle w:val="Heading2"/>
      </w:pPr>
      <w:r>
        <w:t>University –wide Program-level Assessment (</w:t>
      </w:r>
      <w:proofErr w:type="spellStart"/>
      <w:r>
        <w:t>UPWA</w:t>
      </w:r>
      <w:proofErr w:type="spellEnd"/>
      <w:proofErr w:type="gramStart"/>
      <w:r>
        <w:t>)</w:t>
      </w:r>
      <w:proofErr w:type="gramEnd"/>
      <w:r w:rsidR="00543B82">
        <w:br/>
      </w:r>
      <w:r w:rsidR="00543B82">
        <w:br/>
      </w:r>
      <w:r w:rsidRPr="00686365">
        <w:rPr>
          <w:rStyle w:val="Heading3Char"/>
        </w:rPr>
        <w:t>Data from Intermediate Writing Course Review</w:t>
      </w:r>
      <w:r w:rsidR="001D4744" w:rsidRPr="00686365">
        <w:rPr>
          <w:rStyle w:val="Heading3Char"/>
        </w:rPr>
        <w:t xml:space="preserve"> </w:t>
      </w:r>
      <w:r w:rsidR="00244891">
        <w:rPr>
          <w:rStyle w:val="Heading3Char"/>
        </w:rPr>
        <w:br/>
      </w:r>
      <w:r w:rsidR="00244891" w:rsidRPr="00686365">
        <w:rPr>
          <w:rStyle w:val="Heading4Char"/>
        </w:rPr>
        <w:t>General Findings: 2016</w:t>
      </w:r>
    </w:p>
    <w:p w14:paraId="5FE711BC" w14:textId="77777777" w:rsidR="00244891" w:rsidRDefault="00244891" w:rsidP="00244891">
      <w:r>
        <w:t xml:space="preserve">These findings outline trends in the </w:t>
      </w:r>
      <w:r>
        <w:rPr>
          <w:i/>
        </w:rPr>
        <w:t xml:space="preserve">initial </w:t>
      </w:r>
      <w:r>
        <w:t>Intermediate Writing Course submissions; i.e., they do not reflect the quality of the course submissions after having been revised in response to Writing Committee concerns and questions. Only five courses were submitted for the 2016 Intermediate College Writing Course designation review process. These were all new classes requesting the Writing Course designation. Overall, a majority of these courses met the requirements for approval when initially reviewed. Only a small number of course submissions needed revision to meet the Intermediate College Writing Course criteria.</w:t>
      </w:r>
    </w:p>
    <w:p w14:paraId="3EA03F20" w14:textId="77777777" w:rsidR="00244891" w:rsidRDefault="00244891" w:rsidP="00244891"/>
    <w:p w14:paraId="24A282B2" w14:textId="77777777" w:rsidR="00244891" w:rsidRDefault="00244891" w:rsidP="00686365">
      <w:pPr>
        <w:pStyle w:val="Heading4"/>
      </w:pPr>
      <w:r>
        <w:t>Strengths</w:t>
      </w:r>
    </w:p>
    <w:p w14:paraId="097CB8DD" w14:textId="77777777" w:rsidR="00244891" w:rsidRDefault="00244891" w:rsidP="00244891">
      <w:pPr>
        <w:pStyle w:val="ListParagraph"/>
        <w:numPr>
          <w:ilvl w:val="0"/>
          <w:numId w:val="5"/>
        </w:numPr>
        <w:spacing w:after="0" w:line="240" w:lineRule="auto"/>
      </w:pPr>
      <w:r>
        <w:t>100% included the Intermediate College Writing Course learning outcomes on the course syllabus.</w:t>
      </w:r>
    </w:p>
    <w:p w14:paraId="10CCB3BB" w14:textId="77777777" w:rsidR="00244891" w:rsidRDefault="00244891" w:rsidP="00244891">
      <w:pPr>
        <w:pStyle w:val="ListParagraph"/>
        <w:numPr>
          <w:ilvl w:val="0"/>
          <w:numId w:val="5"/>
        </w:numPr>
        <w:spacing w:after="0" w:line="240" w:lineRule="auto"/>
      </w:pPr>
      <w:r>
        <w:t>100% met the minimum requirement of 16 pages of writing</w:t>
      </w:r>
    </w:p>
    <w:p w14:paraId="1817BE50" w14:textId="77777777" w:rsidR="00244891" w:rsidRDefault="00244891" w:rsidP="00244891">
      <w:pPr>
        <w:pStyle w:val="ListParagraph"/>
        <w:numPr>
          <w:ilvl w:val="0"/>
          <w:numId w:val="5"/>
        </w:numPr>
        <w:spacing w:after="0" w:line="240" w:lineRule="auto"/>
      </w:pPr>
      <w:r>
        <w:t>100% based at least 50% of the course grade on writing assignments</w:t>
      </w:r>
    </w:p>
    <w:p w14:paraId="61ECD170" w14:textId="77777777" w:rsidR="00244891" w:rsidRDefault="00244891" w:rsidP="00244891">
      <w:pPr>
        <w:pStyle w:val="ListParagraph"/>
        <w:numPr>
          <w:ilvl w:val="0"/>
          <w:numId w:val="5"/>
        </w:numPr>
        <w:spacing w:after="0" w:line="240" w:lineRule="auto"/>
      </w:pPr>
      <w:r>
        <w:t>80% provided students with an opportunity to formulate and express opinions and ideas in writing, and demonstrated the instructional support that would be used to support students in formulating and expressing opinions.</w:t>
      </w:r>
    </w:p>
    <w:p w14:paraId="552B8F60" w14:textId="77777777" w:rsidR="00244891" w:rsidRDefault="00244891" w:rsidP="00244891">
      <w:pPr>
        <w:pStyle w:val="ListParagraph"/>
        <w:numPr>
          <w:ilvl w:val="0"/>
          <w:numId w:val="5"/>
        </w:numPr>
        <w:spacing w:after="0" w:line="240" w:lineRule="auto"/>
      </w:pPr>
      <w:r>
        <w:t>80% demonstrated that students would be challenged to synthesize new concepts and demonstrated the instructional support that would be used to support students in synthesizing new concepts.</w:t>
      </w:r>
    </w:p>
    <w:p w14:paraId="03283FFA" w14:textId="77777777" w:rsidR="00244891" w:rsidRDefault="00244891" w:rsidP="00244891">
      <w:pPr>
        <w:pStyle w:val="ListParagraph"/>
        <w:numPr>
          <w:ilvl w:val="0"/>
          <w:numId w:val="5"/>
        </w:numPr>
        <w:spacing w:after="0" w:line="240" w:lineRule="auto"/>
      </w:pPr>
      <w:r>
        <w:t>80% showed opportunities for multiple revisions.</w:t>
      </w:r>
    </w:p>
    <w:p w14:paraId="3A2B1517" w14:textId="77777777" w:rsidR="00244891" w:rsidRDefault="00244891" w:rsidP="00244891">
      <w:pPr>
        <w:pStyle w:val="ListParagraph"/>
        <w:numPr>
          <w:ilvl w:val="0"/>
          <w:numId w:val="5"/>
        </w:numPr>
        <w:spacing w:after="0" w:line="240" w:lineRule="auto"/>
      </w:pPr>
      <w:r>
        <w:t>100% required students to begin using discipline-specific writing conventions and showed instructional support to help students recognize that conventions vary with discipline.</w:t>
      </w:r>
    </w:p>
    <w:p w14:paraId="21D4E0D6" w14:textId="77777777" w:rsidR="00244891" w:rsidRDefault="00244891" w:rsidP="00244891">
      <w:pPr>
        <w:pStyle w:val="ListParagraph"/>
        <w:numPr>
          <w:ilvl w:val="0"/>
          <w:numId w:val="5"/>
        </w:numPr>
        <w:spacing w:after="0" w:line="240" w:lineRule="auto"/>
      </w:pPr>
      <w:r>
        <w:t>80% promoted and valued student awareness of writing conventions, including mechanics, grammar, punctuation and spelling with demonstration of instructional support to help students meet this objective.</w:t>
      </w:r>
    </w:p>
    <w:p w14:paraId="7EC2352D" w14:textId="77777777" w:rsidR="00244891" w:rsidRDefault="00244891" w:rsidP="00686365">
      <w:pPr>
        <w:pStyle w:val="Heading4"/>
      </w:pPr>
      <w:r>
        <w:t>Areas for Improvement</w:t>
      </w:r>
    </w:p>
    <w:p w14:paraId="7B7EEB77" w14:textId="77777777" w:rsidR="00244891" w:rsidRDefault="00244891" w:rsidP="00244891">
      <w:pPr>
        <w:pStyle w:val="ListParagraph"/>
        <w:numPr>
          <w:ilvl w:val="0"/>
          <w:numId w:val="6"/>
        </w:numPr>
        <w:spacing w:after="0" w:line="240" w:lineRule="auto"/>
      </w:pPr>
      <w:r>
        <w:t>100% required that students consider purpose and audience when writing; however, 40% did not outline instructional support used to help students understand different purposes and genres.</w:t>
      </w:r>
    </w:p>
    <w:p w14:paraId="4F1C38A1" w14:textId="77777777" w:rsidR="00244891" w:rsidRPr="009A7110" w:rsidRDefault="00244891" w:rsidP="00244891">
      <w:pPr>
        <w:pStyle w:val="ListParagraph"/>
        <w:numPr>
          <w:ilvl w:val="0"/>
          <w:numId w:val="6"/>
        </w:numPr>
        <w:spacing w:after="0" w:line="240" w:lineRule="auto"/>
      </w:pPr>
      <w:r>
        <w:t>100% provides opportunities for students to identify, evaluate, and use information effectively; however, 60% failed to demonstrate how students would be supported in their effort to become information literate.</w:t>
      </w:r>
    </w:p>
    <w:p w14:paraId="47B0053A" w14:textId="3F00D668" w:rsidR="006E7F41" w:rsidRPr="00543B82" w:rsidRDefault="00244891" w:rsidP="00543B82">
      <w:pPr>
        <w:pStyle w:val="Heading3"/>
        <w:rPr>
          <w:rStyle w:val="Heading3Char"/>
          <w:b/>
          <w:bCs/>
        </w:rPr>
      </w:pPr>
      <w:r>
        <w:rPr>
          <w:rStyle w:val="Heading3Char"/>
        </w:rPr>
        <w:br/>
      </w:r>
      <w:r>
        <w:rPr>
          <w:rStyle w:val="Heading3Char"/>
        </w:rPr>
        <w:br/>
      </w:r>
      <w:r w:rsidR="00686365" w:rsidRPr="00543B82">
        <w:rPr>
          <w:rStyle w:val="Heading3Char"/>
          <w:b/>
          <w:bCs/>
        </w:rPr>
        <w:t>Data from scored papers – spring 2016</w:t>
      </w:r>
    </w:p>
    <w:tbl>
      <w:tblPr>
        <w:tblW w:w="7830" w:type="dxa"/>
        <w:tblInd w:w="108" w:type="dxa"/>
        <w:tblLook w:val="04A0" w:firstRow="1" w:lastRow="0" w:firstColumn="1" w:lastColumn="0" w:noHBand="0" w:noVBand="1"/>
      </w:tblPr>
      <w:tblGrid>
        <w:gridCol w:w="1710"/>
        <w:gridCol w:w="2275"/>
        <w:gridCol w:w="1685"/>
        <w:gridCol w:w="2160"/>
      </w:tblGrid>
      <w:tr w:rsidR="00686365" w:rsidRPr="006E7F41" w14:paraId="505C0C03" w14:textId="77777777" w:rsidTr="00280C6C">
        <w:trPr>
          <w:trHeight w:val="320"/>
        </w:trPr>
        <w:tc>
          <w:tcPr>
            <w:tcW w:w="3985" w:type="dxa"/>
            <w:gridSpan w:val="2"/>
            <w:tcBorders>
              <w:top w:val="nil"/>
              <w:left w:val="nil"/>
              <w:right w:val="nil"/>
            </w:tcBorders>
            <w:shd w:val="clear" w:color="auto" w:fill="auto"/>
            <w:noWrap/>
            <w:vAlign w:val="bottom"/>
            <w:hideMark/>
          </w:tcPr>
          <w:p w14:paraId="05BF0504" w14:textId="7E218EC1" w:rsidR="00686365" w:rsidRPr="006E7F41" w:rsidRDefault="00686365" w:rsidP="00543B82">
            <w:pPr>
              <w:pStyle w:val="Heading4"/>
              <w:rPr>
                <w:rFonts w:eastAsia="Times New Roman"/>
              </w:rPr>
            </w:pPr>
            <w:r>
              <w:rPr>
                <w:rFonts w:eastAsia="Times New Roman"/>
              </w:rPr>
              <w:t>Spring 2016 Data Comparison</w:t>
            </w:r>
          </w:p>
        </w:tc>
        <w:tc>
          <w:tcPr>
            <w:tcW w:w="1685" w:type="dxa"/>
            <w:tcBorders>
              <w:top w:val="nil"/>
              <w:left w:val="nil"/>
              <w:right w:val="nil"/>
            </w:tcBorders>
            <w:shd w:val="clear" w:color="auto" w:fill="auto"/>
            <w:noWrap/>
            <w:vAlign w:val="bottom"/>
            <w:hideMark/>
          </w:tcPr>
          <w:p w14:paraId="0C302965" w14:textId="77777777" w:rsidR="00686365" w:rsidRPr="006E7F41" w:rsidRDefault="00686365" w:rsidP="006E7F41">
            <w:pPr>
              <w:spacing w:after="0" w:line="240" w:lineRule="auto"/>
              <w:rPr>
                <w:rFonts w:ascii="Times New Roman" w:eastAsia="Times New Roman" w:hAnsi="Times New Roman" w:cs="Times New Roman"/>
                <w:sz w:val="20"/>
                <w:szCs w:val="20"/>
              </w:rPr>
            </w:pPr>
          </w:p>
        </w:tc>
        <w:tc>
          <w:tcPr>
            <w:tcW w:w="2160" w:type="dxa"/>
            <w:tcBorders>
              <w:top w:val="nil"/>
              <w:left w:val="nil"/>
              <w:right w:val="nil"/>
            </w:tcBorders>
            <w:shd w:val="clear" w:color="auto" w:fill="auto"/>
            <w:noWrap/>
            <w:vAlign w:val="bottom"/>
            <w:hideMark/>
          </w:tcPr>
          <w:p w14:paraId="2EB0D159" w14:textId="77777777" w:rsidR="00686365" w:rsidRPr="006E7F41" w:rsidRDefault="00686365" w:rsidP="006E7F41">
            <w:pPr>
              <w:spacing w:after="0" w:line="240" w:lineRule="auto"/>
              <w:rPr>
                <w:rFonts w:ascii="Times New Roman" w:eastAsia="Times New Roman" w:hAnsi="Times New Roman" w:cs="Times New Roman"/>
                <w:sz w:val="20"/>
                <w:szCs w:val="20"/>
              </w:rPr>
            </w:pPr>
          </w:p>
        </w:tc>
      </w:tr>
      <w:tr w:rsidR="006E7F41" w:rsidRPr="006E7F41" w14:paraId="247D6D2B" w14:textId="77777777" w:rsidTr="00686365">
        <w:trPr>
          <w:trHeight w:val="320"/>
        </w:trPr>
        <w:tc>
          <w:tcPr>
            <w:tcW w:w="1710" w:type="dxa"/>
            <w:shd w:val="clear" w:color="auto" w:fill="auto"/>
            <w:noWrap/>
            <w:vAlign w:val="bottom"/>
            <w:hideMark/>
          </w:tcPr>
          <w:p w14:paraId="7645B045" w14:textId="77777777" w:rsidR="006E7F41" w:rsidRPr="006E7F41" w:rsidRDefault="006E7F41" w:rsidP="00244891">
            <w:pPr>
              <w:spacing w:after="0" w:line="240" w:lineRule="auto"/>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Score Point</w:t>
            </w:r>
          </w:p>
        </w:tc>
        <w:tc>
          <w:tcPr>
            <w:tcW w:w="2275" w:type="dxa"/>
            <w:shd w:val="clear" w:color="auto" w:fill="auto"/>
            <w:noWrap/>
            <w:vAlign w:val="bottom"/>
            <w:hideMark/>
          </w:tcPr>
          <w:p w14:paraId="6A883775" w14:textId="0D2B703C" w:rsidR="006E7F41" w:rsidRPr="006E7F41" w:rsidRDefault="00686365" w:rsidP="006E7F4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6E7F41" w:rsidRPr="006E7F41">
              <w:rPr>
                <w:rFonts w:ascii="Calibri" w:eastAsia="Times New Roman" w:hAnsi="Calibri" w:cs="Times New Roman"/>
                <w:b/>
                <w:bCs/>
                <w:color w:val="000000"/>
                <w:sz w:val="24"/>
                <w:szCs w:val="24"/>
              </w:rPr>
              <w:t>% of total sample</w:t>
            </w:r>
          </w:p>
        </w:tc>
        <w:tc>
          <w:tcPr>
            <w:tcW w:w="1685" w:type="dxa"/>
            <w:shd w:val="clear" w:color="auto" w:fill="auto"/>
            <w:noWrap/>
            <w:vAlign w:val="bottom"/>
            <w:hideMark/>
          </w:tcPr>
          <w:p w14:paraId="06C46F08" w14:textId="567D71D5" w:rsidR="006E7F41" w:rsidRPr="006E7F41" w:rsidRDefault="00686365" w:rsidP="006E7F4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6E7F41" w:rsidRPr="006E7F41">
              <w:rPr>
                <w:rFonts w:ascii="Calibri" w:eastAsia="Times New Roman" w:hAnsi="Calibri" w:cs="Times New Roman"/>
                <w:b/>
                <w:bCs/>
                <w:color w:val="000000"/>
                <w:sz w:val="24"/>
                <w:szCs w:val="24"/>
              </w:rPr>
              <w:t>GPA</w:t>
            </w:r>
          </w:p>
        </w:tc>
        <w:tc>
          <w:tcPr>
            <w:tcW w:w="2160" w:type="dxa"/>
            <w:shd w:val="clear" w:color="auto" w:fill="auto"/>
            <w:noWrap/>
            <w:vAlign w:val="bottom"/>
            <w:hideMark/>
          </w:tcPr>
          <w:p w14:paraId="38E42C1F" w14:textId="77777777" w:rsidR="006E7F41" w:rsidRPr="006E7F41" w:rsidRDefault="006E7F41" w:rsidP="006E7F41">
            <w:pPr>
              <w:spacing w:after="0" w:line="240" w:lineRule="auto"/>
              <w:jc w:val="center"/>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 Credit Completion</w:t>
            </w:r>
          </w:p>
        </w:tc>
      </w:tr>
      <w:tr w:rsidR="006E7F41" w:rsidRPr="006E7F41" w14:paraId="6593D15E" w14:textId="77777777" w:rsidTr="00686365">
        <w:trPr>
          <w:trHeight w:val="320"/>
        </w:trPr>
        <w:tc>
          <w:tcPr>
            <w:tcW w:w="1710" w:type="dxa"/>
            <w:shd w:val="clear" w:color="auto" w:fill="auto"/>
            <w:noWrap/>
            <w:vAlign w:val="bottom"/>
            <w:hideMark/>
          </w:tcPr>
          <w:p w14:paraId="7AD1BE2B"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1-1.5</w:t>
            </w:r>
          </w:p>
        </w:tc>
        <w:tc>
          <w:tcPr>
            <w:tcW w:w="2275" w:type="dxa"/>
            <w:shd w:val="clear" w:color="auto" w:fill="auto"/>
            <w:noWrap/>
            <w:vAlign w:val="bottom"/>
            <w:hideMark/>
          </w:tcPr>
          <w:p w14:paraId="5B7976A0"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14.58%</w:t>
            </w:r>
          </w:p>
        </w:tc>
        <w:tc>
          <w:tcPr>
            <w:tcW w:w="1685" w:type="dxa"/>
            <w:shd w:val="clear" w:color="auto" w:fill="auto"/>
            <w:noWrap/>
            <w:vAlign w:val="bottom"/>
            <w:hideMark/>
          </w:tcPr>
          <w:p w14:paraId="5DC8AD78"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2.94</w:t>
            </w:r>
          </w:p>
        </w:tc>
        <w:tc>
          <w:tcPr>
            <w:tcW w:w="2160" w:type="dxa"/>
            <w:shd w:val="clear" w:color="auto" w:fill="auto"/>
            <w:noWrap/>
            <w:vAlign w:val="bottom"/>
            <w:hideMark/>
          </w:tcPr>
          <w:p w14:paraId="76B3AA29"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86.51%</w:t>
            </w:r>
          </w:p>
        </w:tc>
      </w:tr>
      <w:tr w:rsidR="006E7F41" w:rsidRPr="006E7F41" w14:paraId="73C64FA6" w14:textId="77777777" w:rsidTr="00686365">
        <w:trPr>
          <w:trHeight w:val="320"/>
        </w:trPr>
        <w:tc>
          <w:tcPr>
            <w:tcW w:w="1710" w:type="dxa"/>
            <w:shd w:val="clear" w:color="auto" w:fill="auto"/>
            <w:noWrap/>
            <w:vAlign w:val="bottom"/>
            <w:hideMark/>
          </w:tcPr>
          <w:p w14:paraId="72D3E155"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2-2.5</w:t>
            </w:r>
          </w:p>
        </w:tc>
        <w:tc>
          <w:tcPr>
            <w:tcW w:w="2275" w:type="dxa"/>
            <w:shd w:val="clear" w:color="auto" w:fill="auto"/>
            <w:noWrap/>
            <w:vAlign w:val="bottom"/>
            <w:hideMark/>
          </w:tcPr>
          <w:p w14:paraId="45786015"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49.30%</w:t>
            </w:r>
          </w:p>
        </w:tc>
        <w:tc>
          <w:tcPr>
            <w:tcW w:w="1685" w:type="dxa"/>
            <w:shd w:val="clear" w:color="auto" w:fill="auto"/>
            <w:noWrap/>
            <w:vAlign w:val="bottom"/>
            <w:hideMark/>
          </w:tcPr>
          <w:p w14:paraId="360AD62E"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3.18</w:t>
            </w:r>
          </w:p>
        </w:tc>
        <w:tc>
          <w:tcPr>
            <w:tcW w:w="2160" w:type="dxa"/>
            <w:shd w:val="clear" w:color="auto" w:fill="auto"/>
            <w:noWrap/>
            <w:vAlign w:val="bottom"/>
            <w:hideMark/>
          </w:tcPr>
          <w:p w14:paraId="58C7604D"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87.81%</w:t>
            </w:r>
          </w:p>
        </w:tc>
      </w:tr>
      <w:tr w:rsidR="006E7F41" w:rsidRPr="006E7F41" w14:paraId="3C32C7C9" w14:textId="77777777" w:rsidTr="00686365">
        <w:trPr>
          <w:trHeight w:val="320"/>
        </w:trPr>
        <w:tc>
          <w:tcPr>
            <w:tcW w:w="1710" w:type="dxa"/>
            <w:shd w:val="clear" w:color="auto" w:fill="auto"/>
            <w:noWrap/>
            <w:vAlign w:val="bottom"/>
            <w:hideMark/>
          </w:tcPr>
          <w:p w14:paraId="19EA7FCE"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w:t>
            </w:r>
          </w:p>
        </w:tc>
        <w:tc>
          <w:tcPr>
            <w:tcW w:w="2275" w:type="dxa"/>
            <w:shd w:val="clear" w:color="auto" w:fill="auto"/>
            <w:noWrap/>
            <w:vAlign w:val="bottom"/>
            <w:hideMark/>
          </w:tcPr>
          <w:p w14:paraId="5435B5E9"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24.30%</w:t>
            </w:r>
          </w:p>
        </w:tc>
        <w:tc>
          <w:tcPr>
            <w:tcW w:w="1685" w:type="dxa"/>
            <w:shd w:val="clear" w:color="auto" w:fill="auto"/>
            <w:noWrap/>
            <w:vAlign w:val="bottom"/>
            <w:hideMark/>
          </w:tcPr>
          <w:p w14:paraId="2B908EB4"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3.39</w:t>
            </w:r>
          </w:p>
        </w:tc>
        <w:tc>
          <w:tcPr>
            <w:tcW w:w="2160" w:type="dxa"/>
            <w:shd w:val="clear" w:color="auto" w:fill="auto"/>
            <w:noWrap/>
            <w:vAlign w:val="bottom"/>
            <w:hideMark/>
          </w:tcPr>
          <w:p w14:paraId="63BF47CF"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93.67%</w:t>
            </w:r>
          </w:p>
        </w:tc>
      </w:tr>
      <w:tr w:rsidR="006E7F41" w:rsidRPr="006E7F41" w14:paraId="33F6F26B" w14:textId="77777777" w:rsidTr="00686365">
        <w:trPr>
          <w:trHeight w:val="320"/>
        </w:trPr>
        <w:tc>
          <w:tcPr>
            <w:tcW w:w="1710" w:type="dxa"/>
            <w:shd w:val="clear" w:color="auto" w:fill="auto"/>
            <w:noWrap/>
            <w:vAlign w:val="bottom"/>
            <w:hideMark/>
          </w:tcPr>
          <w:p w14:paraId="03273FF7"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3.5-4</w:t>
            </w:r>
          </w:p>
        </w:tc>
        <w:tc>
          <w:tcPr>
            <w:tcW w:w="2275" w:type="dxa"/>
            <w:shd w:val="clear" w:color="auto" w:fill="auto"/>
            <w:noWrap/>
            <w:vAlign w:val="bottom"/>
            <w:hideMark/>
          </w:tcPr>
          <w:p w14:paraId="13CDA752"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8.30%</w:t>
            </w:r>
          </w:p>
        </w:tc>
        <w:tc>
          <w:tcPr>
            <w:tcW w:w="1685" w:type="dxa"/>
            <w:shd w:val="clear" w:color="auto" w:fill="auto"/>
            <w:noWrap/>
            <w:vAlign w:val="bottom"/>
            <w:hideMark/>
          </w:tcPr>
          <w:p w14:paraId="5398BE4C"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3.79</w:t>
            </w:r>
          </w:p>
        </w:tc>
        <w:tc>
          <w:tcPr>
            <w:tcW w:w="2160" w:type="dxa"/>
            <w:shd w:val="clear" w:color="auto" w:fill="auto"/>
            <w:noWrap/>
            <w:vAlign w:val="bottom"/>
            <w:hideMark/>
          </w:tcPr>
          <w:p w14:paraId="25C93B5C"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95.56%</w:t>
            </w:r>
          </w:p>
        </w:tc>
      </w:tr>
    </w:tbl>
    <w:p w14:paraId="23BEBCFA" w14:textId="77777777" w:rsidR="006E7F41" w:rsidRDefault="006E7F41" w:rsidP="00FE32A2">
      <w:pPr>
        <w:rPr>
          <w:rStyle w:val="Heading3Char"/>
        </w:rPr>
      </w:pPr>
    </w:p>
    <w:tbl>
      <w:tblPr>
        <w:tblW w:w="7830" w:type="dxa"/>
        <w:tblInd w:w="108" w:type="dxa"/>
        <w:tblLook w:val="04A0" w:firstRow="1" w:lastRow="0" w:firstColumn="1" w:lastColumn="0" w:noHBand="0" w:noVBand="1"/>
      </w:tblPr>
      <w:tblGrid>
        <w:gridCol w:w="2520"/>
        <w:gridCol w:w="1440"/>
        <w:gridCol w:w="1710"/>
        <w:gridCol w:w="2160"/>
      </w:tblGrid>
      <w:tr w:rsidR="006E7F41" w:rsidRPr="006E7F41" w14:paraId="42DCD947" w14:textId="77777777" w:rsidTr="00686365">
        <w:trPr>
          <w:trHeight w:val="320"/>
        </w:trPr>
        <w:tc>
          <w:tcPr>
            <w:tcW w:w="3960" w:type="dxa"/>
            <w:gridSpan w:val="2"/>
            <w:shd w:val="clear" w:color="auto" w:fill="auto"/>
            <w:noWrap/>
            <w:vAlign w:val="bottom"/>
            <w:hideMark/>
          </w:tcPr>
          <w:p w14:paraId="4C86F9B3" w14:textId="77777777" w:rsidR="006E7F41" w:rsidRPr="006E7F41" w:rsidRDefault="006E7F41" w:rsidP="00686365">
            <w:pPr>
              <w:pStyle w:val="Heading4"/>
              <w:rPr>
                <w:rFonts w:eastAsia="Times New Roman"/>
              </w:rPr>
            </w:pPr>
            <w:r w:rsidRPr="006E7F41">
              <w:rPr>
                <w:rFonts w:eastAsia="Times New Roman"/>
              </w:rPr>
              <w:t xml:space="preserve">Path INTO Spring 2016 </w:t>
            </w:r>
            <w:proofErr w:type="spellStart"/>
            <w:r w:rsidRPr="006E7F41">
              <w:rPr>
                <w:rFonts w:eastAsia="Times New Roman"/>
              </w:rPr>
              <w:t>IW</w:t>
            </w:r>
            <w:proofErr w:type="spellEnd"/>
            <w:r w:rsidRPr="006E7F41">
              <w:rPr>
                <w:rFonts w:eastAsia="Times New Roman"/>
              </w:rPr>
              <w:t xml:space="preserve"> Course</w:t>
            </w:r>
          </w:p>
        </w:tc>
        <w:tc>
          <w:tcPr>
            <w:tcW w:w="1710" w:type="dxa"/>
            <w:shd w:val="clear" w:color="auto" w:fill="auto"/>
            <w:noWrap/>
            <w:vAlign w:val="bottom"/>
            <w:hideMark/>
          </w:tcPr>
          <w:p w14:paraId="71262AB5"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2160" w:type="dxa"/>
            <w:shd w:val="clear" w:color="auto" w:fill="auto"/>
            <w:noWrap/>
            <w:vAlign w:val="bottom"/>
            <w:hideMark/>
          </w:tcPr>
          <w:p w14:paraId="6041440F"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r>
      <w:tr w:rsidR="006E7F41" w:rsidRPr="006E7F41" w14:paraId="7CBE2B8A" w14:textId="77777777" w:rsidTr="00686365">
        <w:trPr>
          <w:trHeight w:val="320"/>
        </w:trPr>
        <w:tc>
          <w:tcPr>
            <w:tcW w:w="2520" w:type="dxa"/>
            <w:shd w:val="clear" w:color="auto" w:fill="auto"/>
            <w:noWrap/>
            <w:vAlign w:val="bottom"/>
            <w:hideMark/>
          </w:tcPr>
          <w:p w14:paraId="2D884CDD"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440" w:type="dxa"/>
            <w:shd w:val="clear" w:color="auto" w:fill="auto"/>
            <w:noWrap/>
            <w:vAlign w:val="bottom"/>
            <w:hideMark/>
          </w:tcPr>
          <w:p w14:paraId="60F98C7B" w14:textId="77777777" w:rsidR="006E7F41" w:rsidRPr="006E7F41" w:rsidRDefault="006E7F41" w:rsidP="006E7F41">
            <w:pPr>
              <w:spacing w:after="0" w:line="240" w:lineRule="auto"/>
              <w:rPr>
                <w:rFonts w:ascii="Calibri" w:eastAsia="Times New Roman" w:hAnsi="Calibri" w:cs="Times New Roman"/>
                <w:color w:val="000000"/>
                <w:sz w:val="24"/>
                <w:szCs w:val="24"/>
              </w:rPr>
            </w:pPr>
          </w:p>
        </w:tc>
        <w:tc>
          <w:tcPr>
            <w:tcW w:w="1710" w:type="dxa"/>
            <w:shd w:val="clear" w:color="auto" w:fill="auto"/>
            <w:noWrap/>
            <w:vAlign w:val="bottom"/>
            <w:hideMark/>
          </w:tcPr>
          <w:p w14:paraId="608F2E7D" w14:textId="77777777" w:rsidR="006E7F41" w:rsidRPr="006E7F41" w:rsidRDefault="006E7F41" w:rsidP="006E7F41">
            <w:pPr>
              <w:spacing w:after="0" w:line="240" w:lineRule="auto"/>
              <w:rPr>
                <w:rFonts w:ascii="Times New Roman" w:eastAsia="Times New Roman" w:hAnsi="Times New Roman" w:cs="Times New Roman"/>
                <w:sz w:val="20"/>
                <w:szCs w:val="20"/>
              </w:rPr>
            </w:pPr>
          </w:p>
        </w:tc>
        <w:tc>
          <w:tcPr>
            <w:tcW w:w="2160" w:type="dxa"/>
            <w:shd w:val="clear" w:color="auto" w:fill="auto"/>
            <w:noWrap/>
            <w:vAlign w:val="bottom"/>
            <w:hideMark/>
          </w:tcPr>
          <w:p w14:paraId="6FF74926"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r>
      <w:tr w:rsidR="006E7F41" w:rsidRPr="006E7F41" w14:paraId="3AA65C1D" w14:textId="77777777" w:rsidTr="00686365">
        <w:trPr>
          <w:trHeight w:val="320"/>
        </w:trPr>
        <w:tc>
          <w:tcPr>
            <w:tcW w:w="2520" w:type="dxa"/>
            <w:shd w:val="clear" w:color="auto" w:fill="auto"/>
            <w:noWrap/>
            <w:vAlign w:val="bottom"/>
            <w:hideMark/>
          </w:tcPr>
          <w:p w14:paraId="26994D56" w14:textId="77777777" w:rsidR="006E7F41" w:rsidRPr="006E7F41" w:rsidRDefault="006E7F41" w:rsidP="00244891">
            <w:pPr>
              <w:spacing w:after="0" w:line="240" w:lineRule="auto"/>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Score point</w:t>
            </w:r>
          </w:p>
        </w:tc>
        <w:tc>
          <w:tcPr>
            <w:tcW w:w="1440" w:type="dxa"/>
            <w:shd w:val="clear" w:color="auto" w:fill="auto"/>
            <w:noWrap/>
            <w:vAlign w:val="bottom"/>
            <w:hideMark/>
          </w:tcPr>
          <w:p w14:paraId="6238ADFD" w14:textId="0D0ED5C4" w:rsidR="006E7F41" w:rsidRPr="006E7F41" w:rsidRDefault="00686365" w:rsidP="006E7F4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6E7F41" w:rsidRPr="006E7F41">
              <w:rPr>
                <w:rFonts w:ascii="Calibri" w:eastAsia="Times New Roman" w:hAnsi="Calibri" w:cs="Times New Roman"/>
                <w:b/>
                <w:bCs/>
                <w:color w:val="000000"/>
                <w:sz w:val="24"/>
                <w:szCs w:val="24"/>
              </w:rPr>
              <w:t>101</w:t>
            </w:r>
          </w:p>
        </w:tc>
        <w:tc>
          <w:tcPr>
            <w:tcW w:w="1710" w:type="dxa"/>
            <w:shd w:val="clear" w:color="auto" w:fill="auto"/>
            <w:noWrap/>
            <w:vAlign w:val="bottom"/>
            <w:hideMark/>
          </w:tcPr>
          <w:p w14:paraId="3377A345" w14:textId="38CC5329" w:rsidR="006E7F41" w:rsidRPr="006E7F41" w:rsidRDefault="00686365" w:rsidP="00686365">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6E7F41" w:rsidRPr="006E7F41">
              <w:rPr>
                <w:rFonts w:ascii="Calibri" w:eastAsia="Times New Roman" w:hAnsi="Calibri" w:cs="Times New Roman"/>
                <w:b/>
                <w:bCs/>
                <w:color w:val="000000"/>
                <w:sz w:val="24"/>
                <w:szCs w:val="24"/>
              </w:rPr>
              <w:t>AP credit</w:t>
            </w:r>
          </w:p>
        </w:tc>
        <w:tc>
          <w:tcPr>
            <w:tcW w:w="2160" w:type="dxa"/>
            <w:shd w:val="clear" w:color="auto" w:fill="auto"/>
            <w:noWrap/>
            <w:vAlign w:val="bottom"/>
            <w:hideMark/>
          </w:tcPr>
          <w:p w14:paraId="0FBF582C" w14:textId="731A04AB" w:rsidR="006E7F41" w:rsidRPr="006E7F41" w:rsidRDefault="00686365" w:rsidP="006E7F41">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6E7F41" w:rsidRPr="006E7F41">
              <w:rPr>
                <w:rFonts w:ascii="Calibri" w:eastAsia="Times New Roman" w:hAnsi="Calibri" w:cs="Times New Roman"/>
                <w:b/>
                <w:bCs/>
                <w:color w:val="000000"/>
                <w:sz w:val="24"/>
                <w:szCs w:val="24"/>
              </w:rPr>
              <w:t>Transfer Credit</w:t>
            </w:r>
          </w:p>
        </w:tc>
      </w:tr>
      <w:tr w:rsidR="006E7F41" w:rsidRPr="006E7F41" w14:paraId="1E75ED57" w14:textId="77777777" w:rsidTr="00686365">
        <w:trPr>
          <w:trHeight w:val="320"/>
        </w:trPr>
        <w:tc>
          <w:tcPr>
            <w:tcW w:w="2520" w:type="dxa"/>
            <w:shd w:val="clear" w:color="auto" w:fill="auto"/>
            <w:noWrap/>
            <w:vAlign w:val="bottom"/>
            <w:hideMark/>
          </w:tcPr>
          <w:p w14:paraId="1B288CFE"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1-1.5</w:t>
            </w:r>
          </w:p>
        </w:tc>
        <w:tc>
          <w:tcPr>
            <w:tcW w:w="1440" w:type="dxa"/>
            <w:shd w:val="clear" w:color="auto" w:fill="auto"/>
            <w:noWrap/>
            <w:vAlign w:val="bottom"/>
            <w:hideMark/>
          </w:tcPr>
          <w:p w14:paraId="7DB5B88C"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81%</w:t>
            </w:r>
          </w:p>
        </w:tc>
        <w:tc>
          <w:tcPr>
            <w:tcW w:w="1710" w:type="dxa"/>
            <w:shd w:val="clear" w:color="auto" w:fill="auto"/>
            <w:noWrap/>
            <w:vAlign w:val="bottom"/>
            <w:hideMark/>
          </w:tcPr>
          <w:p w14:paraId="3F75CF9E"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4.70%</w:t>
            </w:r>
          </w:p>
        </w:tc>
        <w:tc>
          <w:tcPr>
            <w:tcW w:w="2160" w:type="dxa"/>
            <w:shd w:val="clear" w:color="auto" w:fill="auto"/>
            <w:noWrap/>
            <w:vAlign w:val="bottom"/>
            <w:hideMark/>
          </w:tcPr>
          <w:p w14:paraId="25AAA483"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14.30%</w:t>
            </w:r>
          </w:p>
        </w:tc>
      </w:tr>
      <w:tr w:rsidR="006E7F41" w:rsidRPr="006E7F41" w14:paraId="01001B6A" w14:textId="77777777" w:rsidTr="00686365">
        <w:trPr>
          <w:trHeight w:val="320"/>
        </w:trPr>
        <w:tc>
          <w:tcPr>
            <w:tcW w:w="2520" w:type="dxa"/>
            <w:shd w:val="clear" w:color="auto" w:fill="auto"/>
            <w:noWrap/>
            <w:vAlign w:val="bottom"/>
            <w:hideMark/>
          </w:tcPr>
          <w:p w14:paraId="2D1EDB7A"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lastRenderedPageBreak/>
              <w:t>2-2.5</w:t>
            </w:r>
          </w:p>
        </w:tc>
        <w:tc>
          <w:tcPr>
            <w:tcW w:w="1440" w:type="dxa"/>
            <w:shd w:val="clear" w:color="auto" w:fill="auto"/>
            <w:noWrap/>
            <w:vAlign w:val="bottom"/>
            <w:hideMark/>
          </w:tcPr>
          <w:p w14:paraId="13D6ABFE"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57.80%</w:t>
            </w:r>
          </w:p>
        </w:tc>
        <w:tc>
          <w:tcPr>
            <w:tcW w:w="1710" w:type="dxa"/>
            <w:shd w:val="clear" w:color="auto" w:fill="auto"/>
            <w:noWrap/>
            <w:vAlign w:val="bottom"/>
            <w:hideMark/>
          </w:tcPr>
          <w:p w14:paraId="2D90EC7E"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9.80%</w:t>
            </w:r>
          </w:p>
        </w:tc>
        <w:tc>
          <w:tcPr>
            <w:tcW w:w="2160" w:type="dxa"/>
            <w:shd w:val="clear" w:color="auto" w:fill="auto"/>
            <w:noWrap/>
            <w:vAlign w:val="bottom"/>
            <w:hideMark/>
          </w:tcPr>
          <w:p w14:paraId="2BCD609C"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32.40%</w:t>
            </w:r>
          </w:p>
        </w:tc>
      </w:tr>
      <w:tr w:rsidR="006E7F41" w:rsidRPr="006E7F41" w14:paraId="4F63F436" w14:textId="77777777" w:rsidTr="00686365">
        <w:trPr>
          <w:trHeight w:val="320"/>
        </w:trPr>
        <w:tc>
          <w:tcPr>
            <w:tcW w:w="2520" w:type="dxa"/>
            <w:shd w:val="clear" w:color="auto" w:fill="auto"/>
            <w:noWrap/>
            <w:vAlign w:val="bottom"/>
            <w:hideMark/>
          </w:tcPr>
          <w:p w14:paraId="7C2863B5"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w:t>
            </w:r>
          </w:p>
        </w:tc>
        <w:tc>
          <w:tcPr>
            <w:tcW w:w="1440" w:type="dxa"/>
            <w:shd w:val="clear" w:color="auto" w:fill="auto"/>
            <w:noWrap/>
            <w:vAlign w:val="bottom"/>
            <w:hideMark/>
          </w:tcPr>
          <w:p w14:paraId="34860B6B"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51.40%</w:t>
            </w:r>
          </w:p>
        </w:tc>
        <w:tc>
          <w:tcPr>
            <w:tcW w:w="1710" w:type="dxa"/>
            <w:shd w:val="clear" w:color="auto" w:fill="auto"/>
            <w:noWrap/>
            <w:vAlign w:val="bottom"/>
            <w:hideMark/>
          </w:tcPr>
          <w:p w14:paraId="1570E635"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25.71%</w:t>
            </w:r>
          </w:p>
        </w:tc>
        <w:tc>
          <w:tcPr>
            <w:tcW w:w="2160" w:type="dxa"/>
            <w:shd w:val="clear" w:color="auto" w:fill="auto"/>
            <w:noWrap/>
            <w:vAlign w:val="bottom"/>
            <w:hideMark/>
          </w:tcPr>
          <w:p w14:paraId="273C4D08"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20%</w:t>
            </w:r>
          </w:p>
        </w:tc>
      </w:tr>
      <w:tr w:rsidR="006E7F41" w:rsidRPr="006E7F41" w14:paraId="0A8662BA" w14:textId="77777777" w:rsidTr="00686365">
        <w:trPr>
          <w:trHeight w:val="320"/>
        </w:trPr>
        <w:tc>
          <w:tcPr>
            <w:tcW w:w="2520" w:type="dxa"/>
            <w:shd w:val="clear" w:color="auto" w:fill="auto"/>
            <w:noWrap/>
            <w:vAlign w:val="bottom"/>
            <w:hideMark/>
          </w:tcPr>
          <w:p w14:paraId="489CA052"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3.5-4</w:t>
            </w:r>
          </w:p>
        </w:tc>
        <w:tc>
          <w:tcPr>
            <w:tcW w:w="1440" w:type="dxa"/>
            <w:shd w:val="clear" w:color="auto" w:fill="auto"/>
            <w:noWrap/>
            <w:vAlign w:val="bottom"/>
            <w:hideMark/>
          </w:tcPr>
          <w:p w14:paraId="3BBF486D"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58.30%</w:t>
            </w:r>
          </w:p>
        </w:tc>
        <w:tc>
          <w:tcPr>
            <w:tcW w:w="1710" w:type="dxa"/>
            <w:shd w:val="clear" w:color="auto" w:fill="auto"/>
            <w:noWrap/>
            <w:vAlign w:val="bottom"/>
            <w:hideMark/>
          </w:tcPr>
          <w:p w14:paraId="344A40E2"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33.30%</w:t>
            </w:r>
          </w:p>
        </w:tc>
        <w:tc>
          <w:tcPr>
            <w:tcW w:w="2160" w:type="dxa"/>
            <w:shd w:val="clear" w:color="auto" w:fill="auto"/>
            <w:noWrap/>
            <w:vAlign w:val="bottom"/>
            <w:hideMark/>
          </w:tcPr>
          <w:p w14:paraId="1FA7FC4A"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8.30%</w:t>
            </w:r>
          </w:p>
        </w:tc>
      </w:tr>
    </w:tbl>
    <w:p w14:paraId="608623C1" w14:textId="77777777" w:rsidR="006E7F41" w:rsidRDefault="006E7F41" w:rsidP="00FE32A2">
      <w:pPr>
        <w:rPr>
          <w:rStyle w:val="Heading3Char"/>
        </w:rPr>
      </w:pPr>
    </w:p>
    <w:tbl>
      <w:tblPr>
        <w:tblW w:w="8923" w:type="dxa"/>
        <w:tblInd w:w="108" w:type="dxa"/>
        <w:tblLook w:val="04A0" w:firstRow="1" w:lastRow="0" w:firstColumn="1" w:lastColumn="0" w:noHBand="0" w:noVBand="1"/>
      </w:tblPr>
      <w:tblGrid>
        <w:gridCol w:w="1800"/>
        <w:gridCol w:w="720"/>
        <w:gridCol w:w="720"/>
        <w:gridCol w:w="720"/>
        <w:gridCol w:w="724"/>
        <w:gridCol w:w="272"/>
        <w:gridCol w:w="720"/>
        <w:gridCol w:w="52"/>
        <w:gridCol w:w="752"/>
        <w:gridCol w:w="185"/>
        <w:gridCol w:w="535"/>
        <w:gridCol w:w="706"/>
        <w:gridCol w:w="720"/>
        <w:gridCol w:w="26"/>
        <w:gridCol w:w="271"/>
      </w:tblGrid>
      <w:tr w:rsidR="006E7F41" w:rsidRPr="006E7F41" w14:paraId="7825A02E" w14:textId="77777777" w:rsidTr="00686365">
        <w:trPr>
          <w:trHeight w:val="320"/>
        </w:trPr>
        <w:tc>
          <w:tcPr>
            <w:tcW w:w="6665" w:type="dxa"/>
            <w:gridSpan w:val="10"/>
            <w:tcBorders>
              <w:bottom w:val="nil"/>
              <w:right w:val="nil"/>
            </w:tcBorders>
            <w:shd w:val="clear" w:color="auto" w:fill="auto"/>
            <w:noWrap/>
            <w:vAlign w:val="bottom"/>
            <w:hideMark/>
          </w:tcPr>
          <w:p w14:paraId="5A331CF8" w14:textId="77777777" w:rsidR="006E7F41" w:rsidRPr="006E7F41" w:rsidRDefault="006E7F41" w:rsidP="00686365">
            <w:pPr>
              <w:pStyle w:val="Heading4"/>
              <w:rPr>
                <w:rFonts w:eastAsia="Times New Roman"/>
              </w:rPr>
            </w:pPr>
            <w:r w:rsidRPr="006E7F41">
              <w:rPr>
                <w:rFonts w:eastAsia="Times New Roman"/>
              </w:rPr>
              <w:t xml:space="preserve">Writing Courses BEFORE Spring 2016 </w:t>
            </w:r>
            <w:proofErr w:type="spellStart"/>
            <w:r w:rsidRPr="006E7F41">
              <w:rPr>
                <w:rFonts w:eastAsia="Times New Roman"/>
              </w:rPr>
              <w:t>IW</w:t>
            </w:r>
            <w:proofErr w:type="spellEnd"/>
          </w:p>
        </w:tc>
        <w:tc>
          <w:tcPr>
            <w:tcW w:w="1987" w:type="dxa"/>
            <w:gridSpan w:val="4"/>
            <w:tcBorders>
              <w:left w:val="nil"/>
              <w:bottom w:val="nil"/>
              <w:right w:val="nil"/>
            </w:tcBorders>
            <w:shd w:val="clear" w:color="auto" w:fill="auto"/>
            <w:noWrap/>
            <w:vAlign w:val="bottom"/>
            <w:hideMark/>
          </w:tcPr>
          <w:p w14:paraId="75EB3447"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271" w:type="dxa"/>
            <w:tcBorders>
              <w:left w:val="nil"/>
              <w:bottom w:val="nil"/>
            </w:tcBorders>
            <w:shd w:val="clear" w:color="auto" w:fill="auto"/>
            <w:noWrap/>
            <w:vAlign w:val="bottom"/>
            <w:hideMark/>
          </w:tcPr>
          <w:p w14:paraId="5B416DFE"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r>
      <w:tr w:rsidR="006E7F41" w:rsidRPr="006E7F41" w14:paraId="6370655E" w14:textId="77777777" w:rsidTr="00686365">
        <w:trPr>
          <w:trHeight w:val="320"/>
        </w:trPr>
        <w:tc>
          <w:tcPr>
            <w:tcW w:w="8923" w:type="dxa"/>
            <w:gridSpan w:val="15"/>
            <w:tcBorders>
              <w:top w:val="nil"/>
              <w:bottom w:val="nil"/>
            </w:tcBorders>
            <w:shd w:val="clear" w:color="auto" w:fill="auto"/>
            <w:noWrap/>
            <w:vAlign w:val="bottom"/>
            <w:hideMark/>
          </w:tcPr>
          <w:p w14:paraId="567F0F07"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intermediate or advanced courses for which they were awards credit</w:t>
            </w:r>
          </w:p>
        </w:tc>
      </w:tr>
      <w:tr w:rsidR="00686365" w:rsidRPr="006E7F41" w14:paraId="1F4D7B88" w14:textId="77777777" w:rsidTr="00686365">
        <w:trPr>
          <w:trHeight w:val="320"/>
        </w:trPr>
        <w:tc>
          <w:tcPr>
            <w:tcW w:w="4684" w:type="dxa"/>
            <w:gridSpan w:val="5"/>
            <w:tcBorders>
              <w:top w:val="nil"/>
              <w:bottom w:val="nil"/>
              <w:right w:val="nil"/>
            </w:tcBorders>
            <w:shd w:val="clear" w:color="auto" w:fill="auto"/>
            <w:noWrap/>
            <w:vAlign w:val="bottom"/>
            <w:hideMark/>
          </w:tcPr>
          <w:p w14:paraId="69EDC194"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044" w:type="dxa"/>
            <w:gridSpan w:val="3"/>
            <w:tcBorders>
              <w:top w:val="nil"/>
              <w:left w:val="nil"/>
              <w:bottom w:val="nil"/>
              <w:right w:val="nil"/>
            </w:tcBorders>
            <w:shd w:val="clear" w:color="auto" w:fill="auto"/>
            <w:noWrap/>
            <w:vAlign w:val="bottom"/>
            <w:hideMark/>
          </w:tcPr>
          <w:p w14:paraId="61284353" w14:textId="77777777" w:rsidR="006E7F41" w:rsidRPr="006E7F41" w:rsidRDefault="006E7F41" w:rsidP="006E7F41">
            <w:pPr>
              <w:spacing w:after="0" w:line="240" w:lineRule="auto"/>
              <w:rPr>
                <w:rFonts w:ascii="Calibri" w:eastAsia="Times New Roman" w:hAnsi="Calibri" w:cs="Times New Roman"/>
                <w:color w:val="000000"/>
                <w:sz w:val="24"/>
                <w:szCs w:val="24"/>
              </w:rPr>
            </w:pPr>
          </w:p>
        </w:tc>
        <w:tc>
          <w:tcPr>
            <w:tcW w:w="937" w:type="dxa"/>
            <w:gridSpan w:val="2"/>
            <w:tcBorders>
              <w:top w:val="nil"/>
              <w:left w:val="nil"/>
              <w:bottom w:val="nil"/>
              <w:right w:val="nil"/>
            </w:tcBorders>
            <w:shd w:val="clear" w:color="auto" w:fill="auto"/>
            <w:noWrap/>
            <w:vAlign w:val="bottom"/>
            <w:hideMark/>
          </w:tcPr>
          <w:p w14:paraId="60ABAAF5" w14:textId="77777777" w:rsidR="006E7F41" w:rsidRPr="006E7F41" w:rsidRDefault="006E7F41" w:rsidP="006E7F41">
            <w:pPr>
              <w:spacing w:after="0" w:line="240" w:lineRule="auto"/>
              <w:rPr>
                <w:rFonts w:ascii="Times New Roman" w:eastAsia="Times New Roman" w:hAnsi="Times New Roman" w:cs="Times New Roman"/>
                <w:sz w:val="20"/>
                <w:szCs w:val="20"/>
              </w:rPr>
            </w:pPr>
          </w:p>
        </w:tc>
        <w:tc>
          <w:tcPr>
            <w:tcW w:w="1987" w:type="dxa"/>
            <w:gridSpan w:val="4"/>
            <w:tcBorders>
              <w:top w:val="nil"/>
              <w:left w:val="nil"/>
              <w:bottom w:val="nil"/>
              <w:right w:val="nil"/>
            </w:tcBorders>
            <w:shd w:val="clear" w:color="auto" w:fill="auto"/>
            <w:noWrap/>
            <w:vAlign w:val="bottom"/>
            <w:hideMark/>
          </w:tcPr>
          <w:p w14:paraId="34CA50BF" w14:textId="77777777" w:rsidR="006E7F41" w:rsidRPr="006E7F41" w:rsidRDefault="006E7F41" w:rsidP="006E7F41">
            <w:pPr>
              <w:spacing w:after="0" w:line="240" w:lineRule="auto"/>
              <w:rPr>
                <w:rFonts w:ascii="Times New Roman" w:eastAsia="Times New Roman" w:hAnsi="Times New Roman" w:cs="Times New Roman"/>
                <w:sz w:val="20"/>
                <w:szCs w:val="20"/>
              </w:rPr>
            </w:pPr>
          </w:p>
        </w:tc>
        <w:tc>
          <w:tcPr>
            <w:tcW w:w="271" w:type="dxa"/>
            <w:tcBorders>
              <w:top w:val="nil"/>
              <w:left w:val="nil"/>
              <w:bottom w:val="nil"/>
            </w:tcBorders>
            <w:shd w:val="clear" w:color="auto" w:fill="auto"/>
            <w:noWrap/>
            <w:vAlign w:val="bottom"/>
            <w:hideMark/>
          </w:tcPr>
          <w:p w14:paraId="50887DC3"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r>
      <w:tr w:rsidR="00244891" w:rsidRPr="006E7F41" w14:paraId="13B0B62D" w14:textId="77777777" w:rsidTr="00686365">
        <w:trPr>
          <w:gridAfter w:val="3"/>
          <w:wAfter w:w="1017" w:type="dxa"/>
          <w:trHeight w:val="320"/>
        </w:trPr>
        <w:tc>
          <w:tcPr>
            <w:tcW w:w="1800" w:type="dxa"/>
            <w:shd w:val="clear" w:color="auto" w:fill="auto"/>
            <w:noWrap/>
            <w:vAlign w:val="bottom"/>
            <w:hideMark/>
          </w:tcPr>
          <w:p w14:paraId="7A88D423" w14:textId="77777777" w:rsidR="006E7F41" w:rsidRPr="006E7F41" w:rsidRDefault="006E7F41" w:rsidP="00244891">
            <w:pPr>
              <w:spacing w:after="0" w:line="240" w:lineRule="auto"/>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Score point</w:t>
            </w:r>
          </w:p>
        </w:tc>
        <w:tc>
          <w:tcPr>
            <w:tcW w:w="1440" w:type="dxa"/>
            <w:gridSpan w:val="2"/>
            <w:shd w:val="clear" w:color="auto" w:fill="auto"/>
            <w:noWrap/>
            <w:vAlign w:val="bottom"/>
            <w:hideMark/>
          </w:tcPr>
          <w:p w14:paraId="6E3F4AB5" w14:textId="77777777" w:rsidR="006E7F41" w:rsidRPr="006E7F41" w:rsidRDefault="006E7F41" w:rsidP="006E7F41">
            <w:pPr>
              <w:spacing w:after="0" w:line="240" w:lineRule="auto"/>
              <w:jc w:val="center"/>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 xml:space="preserve"> 1 course</w:t>
            </w:r>
          </w:p>
        </w:tc>
        <w:tc>
          <w:tcPr>
            <w:tcW w:w="1716" w:type="dxa"/>
            <w:gridSpan w:val="3"/>
            <w:shd w:val="clear" w:color="auto" w:fill="auto"/>
            <w:noWrap/>
            <w:vAlign w:val="bottom"/>
            <w:hideMark/>
          </w:tcPr>
          <w:p w14:paraId="0D21F5AC" w14:textId="77777777" w:rsidR="006E7F41" w:rsidRPr="006E7F41" w:rsidRDefault="006E7F41" w:rsidP="006E7F41">
            <w:pPr>
              <w:spacing w:after="0" w:line="240" w:lineRule="auto"/>
              <w:jc w:val="center"/>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2 courses</w:t>
            </w:r>
          </w:p>
        </w:tc>
        <w:tc>
          <w:tcPr>
            <w:tcW w:w="1524" w:type="dxa"/>
            <w:gridSpan w:val="3"/>
            <w:shd w:val="clear" w:color="auto" w:fill="auto"/>
            <w:noWrap/>
            <w:vAlign w:val="bottom"/>
            <w:hideMark/>
          </w:tcPr>
          <w:p w14:paraId="6ADA7AF5" w14:textId="77777777" w:rsidR="006E7F41" w:rsidRPr="006E7F41" w:rsidRDefault="006E7F41" w:rsidP="006E7F41">
            <w:pPr>
              <w:spacing w:after="0" w:line="240" w:lineRule="auto"/>
              <w:jc w:val="center"/>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3 courses</w:t>
            </w:r>
          </w:p>
        </w:tc>
        <w:tc>
          <w:tcPr>
            <w:tcW w:w="1426" w:type="dxa"/>
            <w:gridSpan w:val="3"/>
            <w:shd w:val="clear" w:color="auto" w:fill="auto"/>
            <w:noWrap/>
            <w:vAlign w:val="bottom"/>
            <w:hideMark/>
          </w:tcPr>
          <w:p w14:paraId="5AAC010A" w14:textId="77777777" w:rsidR="006E7F41" w:rsidRPr="006E7F41" w:rsidRDefault="006E7F41" w:rsidP="006E7F41">
            <w:pPr>
              <w:spacing w:after="0" w:line="240" w:lineRule="auto"/>
              <w:jc w:val="center"/>
              <w:rPr>
                <w:rFonts w:ascii="Calibri" w:eastAsia="Times New Roman" w:hAnsi="Calibri" w:cs="Times New Roman"/>
                <w:b/>
                <w:bCs/>
                <w:color w:val="000000"/>
                <w:sz w:val="24"/>
                <w:szCs w:val="24"/>
              </w:rPr>
            </w:pPr>
            <w:r w:rsidRPr="006E7F41">
              <w:rPr>
                <w:rFonts w:ascii="Calibri" w:eastAsia="Times New Roman" w:hAnsi="Calibri" w:cs="Times New Roman"/>
                <w:b/>
                <w:bCs/>
                <w:color w:val="000000"/>
                <w:sz w:val="24"/>
                <w:szCs w:val="24"/>
              </w:rPr>
              <w:t>4 courses</w:t>
            </w:r>
          </w:p>
        </w:tc>
      </w:tr>
      <w:tr w:rsidR="00244891" w:rsidRPr="006E7F41" w14:paraId="7C2D79A5" w14:textId="77777777" w:rsidTr="00686365">
        <w:trPr>
          <w:gridAfter w:val="3"/>
          <w:wAfter w:w="1017" w:type="dxa"/>
          <w:trHeight w:val="320"/>
        </w:trPr>
        <w:tc>
          <w:tcPr>
            <w:tcW w:w="1800" w:type="dxa"/>
            <w:shd w:val="clear" w:color="auto" w:fill="auto"/>
            <w:noWrap/>
            <w:vAlign w:val="bottom"/>
            <w:hideMark/>
          </w:tcPr>
          <w:p w14:paraId="7D499225"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1-1.5</w:t>
            </w:r>
          </w:p>
        </w:tc>
        <w:tc>
          <w:tcPr>
            <w:tcW w:w="1440" w:type="dxa"/>
            <w:gridSpan w:val="2"/>
            <w:shd w:val="clear" w:color="auto" w:fill="auto"/>
            <w:noWrap/>
            <w:vAlign w:val="bottom"/>
            <w:hideMark/>
          </w:tcPr>
          <w:p w14:paraId="0A787F52"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39.10%</w:t>
            </w:r>
          </w:p>
        </w:tc>
        <w:tc>
          <w:tcPr>
            <w:tcW w:w="1716" w:type="dxa"/>
            <w:gridSpan w:val="3"/>
            <w:shd w:val="clear" w:color="auto" w:fill="auto"/>
            <w:noWrap/>
            <w:vAlign w:val="bottom"/>
            <w:hideMark/>
          </w:tcPr>
          <w:p w14:paraId="4BB9133A"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8.70%</w:t>
            </w:r>
          </w:p>
        </w:tc>
        <w:tc>
          <w:tcPr>
            <w:tcW w:w="1524" w:type="dxa"/>
            <w:gridSpan w:val="3"/>
            <w:shd w:val="clear" w:color="auto" w:fill="auto"/>
            <w:noWrap/>
            <w:vAlign w:val="bottom"/>
            <w:hideMark/>
          </w:tcPr>
          <w:p w14:paraId="162378E1"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0%</w:t>
            </w:r>
          </w:p>
        </w:tc>
        <w:tc>
          <w:tcPr>
            <w:tcW w:w="1426" w:type="dxa"/>
            <w:gridSpan w:val="3"/>
            <w:shd w:val="clear" w:color="auto" w:fill="auto"/>
            <w:noWrap/>
            <w:vAlign w:val="bottom"/>
            <w:hideMark/>
          </w:tcPr>
          <w:p w14:paraId="69E11D49"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0%</w:t>
            </w:r>
          </w:p>
        </w:tc>
      </w:tr>
      <w:tr w:rsidR="00244891" w:rsidRPr="006E7F41" w14:paraId="771FA2BA" w14:textId="77777777" w:rsidTr="00686365">
        <w:trPr>
          <w:gridAfter w:val="3"/>
          <w:wAfter w:w="1017" w:type="dxa"/>
          <w:trHeight w:val="320"/>
        </w:trPr>
        <w:tc>
          <w:tcPr>
            <w:tcW w:w="1800" w:type="dxa"/>
            <w:shd w:val="clear" w:color="auto" w:fill="auto"/>
            <w:noWrap/>
            <w:vAlign w:val="bottom"/>
            <w:hideMark/>
          </w:tcPr>
          <w:p w14:paraId="77A0A001"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2-2.5</w:t>
            </w:r>
          </w:p>
        </w:tc>
        <w:tc>
          <w:tcPr>
            <w:tcW w:w="1440" w:type="dxa"/>
            <w:gridSpan w:val="2"/>
            <w:shd w:val="clear" w:color="auto" w:fill="auto"/>
            <w:noWrap/>
            <w:vAlign w:val="bottom"/>
            <w:hideMark/>
          </w:tcPr>
          <w:p w14:paraId="68274A4F"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31%</w:t>
            </w:r>
          </w:p>
        </w:tc>
        <w:tc>
          <w:tcPr>
            <w:tcW w:w="1716" w:type="dxa"/>
            <w:gridSpan w:val="3"/>
            <w:shd w:val="clear" w:color="auto" w:fill="auto"/>
            <w:noWrap/>
            <w:vAlign w:val="bottom"/>
            <w:hideMark/>
          </w:tcPr>
          <w:p w14:paraId="465AB3F5"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14.10%</w:t>
            </w:r>
          </w:p>
        </w:tc>
        <w:tc>
          <w:tcPr>
            <w:tcW w:w="1524" w:type="dxa"/>
            <w:gridSpan w:val="3"/>
            <w:shd w:val="clear" w:color="auto" w:fill="auto"/>
            <w:noWrap/>
            <w:vAlign w:val="bottom"/>
            <w:hideMark/>
          </w:tcPr>
          <w:p w14:paraId="20B69021"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4.20%</w:t>
            </w:r>
          </w:p>
        </w:tc>
        <w:tc>
          <w:tcPr>
            <w:tcW w:w="1426" w:type="dxa"/>
            <w:gridSpan w:val="3"/>
            <w:shd w:val="clear" w:color="auto" w:fill="auto"/>
            <w:noWrap/>
            <w:vAlign w:val="bottom"/>
            <w:hideMark/>
          </w:tcPr>
          <w:p w14:paraId="16C3F877"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0%</w:t>
            </w:r>
          </w:p>
        </w:tc>
      </w:tr>
      <w:tr w:rsidR="00244891" w:rsidRPr="006E7F41" w14:paraId="3C56E576" w14:textId="77777777" w:rsidTr="00686365">
        <w:trPr>
          <w:gridAfter w:val="3"/>
          <w:wAfter w:w="1017" w:type="dxa"/>
          <w:trHeight w:val="320"/>
        </w:trPr>
        <w:tc>
          <w:tcPr>
            <w:tcW w:w="1800" w:type="dxa"/>
            <w:shd w:val="clear" w:color="auto" w:fill="auto"/>
            <w:noWrap/>
            <w:vAlign w:val="bottom"/>
            <w:hideMark/>
          </w:tcPr>
          <w:p w14:paraId="13B2ADF0"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w:t>
            </w:r>
          </w:p>
        </w:tc>
        <w:tc>
          <w:tcPr>
            <w:tcW w:w="1440" w:type="dxa"/>
            <w:gridSpan w:val="2"/>
            <w:shd w:val="clear" w:color="auto" w:fill="auto"/>
            <w:noWrap/>
            <w:vAlign w:val="bottom"/>
            <w:hideMark/>
          </w:tcPr>
          <w:p w14:paraId="48C7871C"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34.30%</w:t>
            </w:r>
          </w:p>
        </w:tc>
        <w:tc>
          <w:tcPr>
            <w:tcW w:w="1716" w:type="dxa"/>
            <w:gridSpan w:val="3"/>
            <w:shd w:val="clear" w:color="auto" w:fill="auto"/>
            <w:noWrap/>
            <w:vAlign w:val="bottom"/>
            <w:hideMark/>
          </w:tcPr>
          <w:p w14:paraId="29971C7B"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17.10%</w:t>
            </w:r>
          </w:p>
        </w:tc>
        <w:tc>
          <w:tcPr>
            <w:tcW w:w="1524" w:type="dxa"/>
            <w:gridSpan w:val="3"/>
            <w:shd w:val="clear" w:color="auto" w:fill="auto"/>
            <w:noWrap/>
            <w:vAlign w:val="bottom"/>
            <w:hideMark/>
          </w:tcPr>
          <w:p w14:paraId="252C7653"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8.60%</w:t>
            </w:r>
          </w:p>
        </w:tc>
        <w:tc>
          <w:tcPr>
            <w:tcW w:w="1426" w:type="dxa"/>
            <w:gridSpan w:val="3"/>
            <w:shd w:val="clear" w:color="auto" w:fill="auto"/>
            <w:noWrap/>
            <w:vAlign w:val="bottom"/>
            <w:hideMark/>
          </w:tcPr>
          <w:p w14:paraId="35C40740"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0%</w:t>
            </w:r>
          </w:p>
        </w:tc>
      </w:tr>
      <w:tr w:rsidR="00244891" w:rsidRPr="006E7F41" w14:paraId="59EEB7CA" w14:textId="77777777" w:rsidTr="00686365">
        <w:trPr>
          <w:gridAfter w:val="3"/>
          <w:wAfter w:w="1017" w:type="dxa"/>
          <w:trHeight w:val="320"/>
        </w:trPr>
        <w:tc>
          <w:tcPr>
            <w:tcW w:w="1800" w:type="dxa"/>
            <w:shd w:val="clear" w:color="auto" w:fill="auto"/>
            <w:noWrap/>
            <w:vAlign w:val="bottom"/>
            <w:hideMark/>
          </w:tcPr>
          <w:p w14:paraId="6CADB715"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3.5-4</w:t>
            </w:r>
          </w:p>
        </w:tc>
        <w:tc>
          <w:tcPr>
            <w:tcW w:w="1440" w:type="dxa"/>
            <w:gridSpan w:val="2"/>
            <w:shd w:val="clear" w:color="auto" w:fill="auto"/>
            <w:noWrap/>
            <w:vAlign w:val="bottom"/>
            <w:hideMark/>
          </w:tcPr>
          <w:p w14:paraId="5F558AF3"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25%</w:t>
            </w:r>
          </w:p>
        </w:tc>
        <w:tc>
          <w:tcPr>
            <w:tcW w:w="1716" w:type="dxa"/>
            <w:gridSpan w:val="3"/>
            <w:shd w:val="clear" w:color="auto" w:fill="auto"/>
            <w:noWrap/>
            <w:vAlign w:val="bottom"/>
            <w:hideMark/>
          </w:tcPr>
          <w:p w14:paraId="6FC082E3"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25%</w:t>
            </w:r>
          </w:p>
        </w:tc>
        <w:tc>
          <w:tcPr>
            <w:tcW w:w="1524" w:type="dxa"/>
            <w:gridSpan w:val="3"/>
            <w:shd w:val="clear" w:color="auto" w:fill="auto"/>
            <w:noWrap/>
            <w:vAlign w:val="bottom"/>
            <w:hideMark/>
          </w:tcPr>
          <w:p w14:paraId="476A2CE9"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25%</w:t>
            </w:r>
          </w:p>
        </w:tc>
        <w:tc>
          <w:tcPr>
            <w:tcW w:w="1426" w:type="dxa"/>
            <w:gridSpan w:val="3"/>
            <w:shd w:val="clear" w:color="auto" w:fill="auto"/>
            <w:noWrap/>
            <w:vAlign w:val="bottom"/>
            <w:hideMark/>
          </w:tcPr>
          <w:p w14:paraId="4F49B698" w14:textId="77777777" w:rsidR="006E7F41" w:rsidRPr="006E7F41" w:rsidRDefault="006E7F41" w:rsidP="006E7F41">
            <w:pPr>
              <w:spacing w:after="0" w:line="240" w:lineRule="auto"/>
              <w:jc w:val="right"/>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25%</w:t>
            </w:r>
          </w:p>
        </w:tc>
      </w:tr>
      <w:tr w:rsidR="00244891" w:rsidRPr="006E7F41" w14:paraId="034E11BB" w14:textId="77777777" w:rsidTr="00686365">
        <w:trPr>
          <w:gridAfter w:val="2"/>
          <w:wAfter w:w="297" w:type="dxa"/>
          <w:trHeight w:val="320"/>
        </w:trPr>
        <w:tc>
          <w:tcPr>
            <w:tcW w:w="2520" w:type="dxa"/>
            <w:gridSpan w:val="2"/>
            <w:shd w:val="clear" w:color="auto" w:fill="auto"/>
            <w:noWrap/>
            <w:vAlign w:val="bottom"/>
            <w:hideMark/>
          </w:tcPr>
          <w:p w14:paraId="360DA0AB"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440" w:type="dxa"/>
            <w:gridSpan w:val="2"/>
            <w:shd w:val="clear" w:color="auto" w:fill="auto"/>
            <w:noWrap/>
            <w:vAlign w:val="bottom"/>
            <w:hideMark/>
          </w:tcPr>
          <w:p w14:paraId="43D98342"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716" w:type="dxa"/>
            <w:gridSpan w:val="3"/>
            <w:shd w:val="clear" w:color="auto" w:fill="auto"/>
            <w:noWrap/>
            <w:vAlign w:val="bottom"/>
            <w:hideMark/>
          </w:tcPr>
          <w:p w14:paraId="0A8D4B3A"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524" w:type="dxa"/>
            <w:gridSpan w:val="4"/>
            <w:shd w:val="clear" w:color="auto" w:fill="auto"/>
            <w:noWrap/>
            <w:vAlign w:val="bottom"/>
            <w:hideMark/>
          </w:tcPr>
          <w:p w14:paraId="698BB826"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c>
          <w:tcPr>
            <w:tcW w:w="1426" w:type="dxa"/>
            <w:gridSpan w:val="2"/>
            <w:shd w:val="clear" w:color="auto" w:fill="auto"/>
            <w:noWrap/>
            <w:vAlign w:val="bottom"/>
            <w:hideMark/>
          </w:tcPr>
          <w:p w14:paraId="30247FF8" w14:textId="77777777" w:rsidR="006E7F41" w:rsidRPr="006E7F41" w:rsidRDefault="006E7F41" w:rsidP="006E7F41">
            <w:pPr>
              <w:spacing w:after="0" w:line="240" w:lineRule="auto"/>
              <w:rPr>
                <w:rFonts w:ascii="Calibri" w:eastAsia="Times New Roman" w:hAnsi="Calibri" w:cs="Times New Roman"/>
                <w:color w:val="000000"/>
                <w:sz w:val="24"/>
                <w:szCs w:val="24"/>
              </w:rPr>
            </w:pPr>
            <w:r w:rsidRPr="006E7F41">
              <w:rPr>
                <w:rFonts w:ascii="Calibri" w:eastAsia="Times New Roman" w:hAnsi="Calibri" w:cs="Times New Roman"/>
                <w:color w:val="000000"/>
                <w:sz w:val="24"/>
                <w:szCs w:val="24"/>
              </w:rPr>
              <w:t> </w:t>
            </w:r>
          </w:p>
        </w:tc>
      </w:tr>
    </w:tbl>
    <w:p w14:paraId="19D6E906" w14:textId="5684C286" w:rsidR="00FE32A2" w:rsidRDefault="00043740" w:rsidP="00686365">
      <w:pPr>
        <w:pStyle w:val="Heading3"/>
      </w:pPr>
      <w:r>
        <w:t>Writing Assessment Workshop (Formerly Retreat)</w:t>
      </w:r>
    </w:p>
    <w:p w14:paraId="64B6427A" w14:textId="09B63E6C" w:rsidR="000C17D3" w:rsidRDefault="000C17D3"/>
    <w:p w14:paraId="476C5813" w14:textId="56FABAE2" w:rsidR="006E7F41" w:rsidRDefault="006E7F41" w:rsidP="006E7F41">
      <w:r>
        <w:t>The annual Writing Assessment Workshop was held on Friday, April 21 in the Canyon Club at Washington Grizzly Stadium.</w:t>
      </w:r>
    </w:p>
    <w:p w14:paraId="7CBC936B" w14:textId="77777777" w:rsidR="006E7F41" w:rsidRDefault="006E7F41" w:rsidP="006E7F41">
      <w:r>
        <w:t xml:space="preserve">Throughout the day we had 38 people reading student essays. The 38 readers were comprised of faculty, staff, and graduate students from 21 different programs at UM as well as 5 teachers from local and regional high schools who teach AP, </w:t>
      </w:r>
      <w:proofErr w:type="spellStart"/>
      <w:r>
        <w:t>IB</w:t>
      </w:r>
      <w:proofErr w:type="spellEnd"/>
      <w:r>
        <w:t>, and duel enrollment courses.</w:t>
      </w:r>
    </w:p>
    <w:p w14:paraId="1FE161A9" w14:textId="36C9A2A4" w:rsidR="006E7F41" w:rsidRDefault="006E7F41" w:rsidP="006E7F41">
      <w:r>
        <w:t xml:space="preserve">On Wednesday, May 3, we hosted a small group assessment event for readers with a rich </w:t>
      </w:r>
      <w:r w:rsidR="00244891">
        <w:t>background</w:t>
      </w:r>
      <w:r>
        <w:t xml:space="preserve"> in writing assessment.  </w:t>
      </w:r>
    </w:p>
    <w:p w14:paraId="246C5CF9" w14:textId="77777777" w:rsidR="006E7F41" w:rsidRDefault="006E7F41" w:rsidP="006E7F41"/>
    <w:p w14:paraId="6C37885B" w14:textId="77777777" w:rsidR="006E7F41" w:rsidRDefault="006E7F41" w:rsidP="006E7F41"/>
    <w:p w14:paraId="29DE0EB2" w14:textId="77777777" w:rsidR="006E7F41" w:rsidRDefault="006E7F41"/>
    <w:sectPr w:rsidR="006E7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B64A5"/>
    <w:multiLevelType w:val="hybridMultilevel"/>
    <w:tmpl w:val="280A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A07324"/>
    <w:multiLevelType w:val="hybridMultilevel"/>
    <w:tmpl w:val="E76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14C65"/>
    <w:multiLevelType w:val="hybridMultilevel"/>
    <w:tmpl w:val="21AC4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C0558BE"/>
    <w:multiLevelType w:val="hybridMultilevel"/>
    <w:tmpl w:val="79C0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15C6E"/>
    <w:multiLevelType w:val="hybridMultilevel"/>
    <w:tmpl w:val="7C843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48E70A1"/>
    <w:multiLevelType w:val="hybridMultilevel"/>
    <w:tmpl w:val="41FCF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59"/>
    <w:rsid w:val="00043740"/>
    <w:rsid w:val="000C17D3"/>
    <w:rsid w:val="00140815"/>
    <w:rsid w:val="00166A12"/>
    <w:rsid w:val="001D4744"/>
    <w:rsid w:val="00244891"/>
    <w:rsid w:val="002A7A7C"/>
    <w:rsid w:val="003429AF"/>
    <w:rsid w:val="00344207"/>
    <w:rsid w:val="00543B82"/>
    <w:rsid w:val="005C7AF1"/>
    <w:rsid w:val="006052F3"/>
    <w:rsid w:val="00620C17"/>
    <w:rsid w:val="00657859"/>
    <w:rsid w:val="0068027F"/>
    <w:rsid w:val="00686365"/>
    <w:rsid w:val="006B4CF8"/>
    <w:rsid w:val="006C7B74"/>
    <w:rsid w:val="006E7F41"/>
    <w:rsid w:val="00721B02"/>
    <w:rsid w:val="00744DAF"/>
    <w:rsid w:val="00762CFF"/>
    <w:rsid w:val="00874758"/>
    <w:rsid w:val="008E3620"/>
    <w:rsid w:val="00A03735"/>
    <w:rsid w:val="00B23DAA"/>
    <w:rsid w:val="00C6148A"/>
    <w:rsid w:val="00DD552A"/>
    <w:rsid w:val="00EB7B83"/>
    <w:rsid w:val="00F45673"/>
    <w:rsid w:val="00FE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02"/>
  </w:style>
  <w:style w:type="paragraph" w:styleId="Heading1">
    <w:name w:val="heading 1"/>
    <w:basedOn w:val="Normal"/>
    <w:next w:val="Normal"/>
    <w:link w:val="Heading1Char"/>
    <w:uiPriority w:val="9"/>
    <w:qFormat/>
    <w:rsid w:val="00721B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1B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21B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21B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1B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1B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1B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1B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1B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02"/>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657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21B02"/>
    <w:rPr>
      <w:b/>
      <w:bCs/>
    </w:rPr>
  </w:style>
  <w:style w:type="character" w:customStyle="1" w:styleId="Heading2Char">
    <w:name w:val="Heading 2 Char"/>
    <w:basedOn w:val="DefaultParagraphFont"/>
    <w:link w:val="Heading2"/>
    <w:uiPriority w:val="9"/>
    <w:rsid w:val="00721B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1B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21B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1B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1B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1B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1B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1B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1B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1B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1B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1B02"/>
    <w:rPr>
      <w:rFonts w:asciiTheme="majorHAnsi" w:eastAsiaTheme="majorEastAsia" w:hAnsiTheme="majorHAnsi" w:cstheme="majorBidi"/>
      <w:i/>
      <w:iCs/>
      <w:spacing w:val="13"/>
      <w:sz w:val="24"/>
      <w:szCs w:val="24"/>
    </w:rPr>
  </w:style>
  <w:style w:type="character" w:styleId="Emphasis">
    <w:name w:val="Emphasis"/>
    <w:uiPriority w:val="20"/>
    <w:qFormat/>
    <w:rsid w:val="00721B02"/>
    <w:rPr>
      <w:b/>
      <w:bCs/>
      <w:i/>
      <w:iCs/>
      <w:spacing w:val="10"/>
      <w:bdr w:val="none" w:sz="0" w:space="0" w:color="auto"/>
      <w:shd w:val="clear" w:color="auto" w:fill="auto"/>
    </w:rPr>
  </w:style>
  <w:style w:type="paragraph" w:styleId="NoSpacing">
    <w:name w:val="No Spacing"/>
    <w:basedOn w:val="Normal"/>
    <w:uiPriority w:val="1"/>
    <w:qFormat/>
    <w:rsid w:val="00721B02"/>
    <w:pPr>
      <w:spacing w:after="0" w:line="240" w:lineRule="auto"/>
    </w:pPr>
  </w:style>
  <w:style w:type="paragraph" w:styleId="ListParagraph">
    <w:name w:val="List Paragraph"/>
    <w:basedOn w:val="Normal"/>
    <w:uiPriority w:val="34"/>
    <w:qFormat/>
    <w:rsid w:val="00721B02"/>
    <w:pPr>
      <w:ind w:left="720"/>
      <w:contextualSpacing/>
    </w:pPr>
  </w:style>
  <w:style w:type="paragraph" w:styleId="Quote">
    <w:name w:val="Quote"/>
    <w:basedOn w:val="Normal"/>
    <w:next w:val="Normal"/>
    <w:link w:val="QuoteChar"/>
    <w:uiPriority w:val="29"/>
    <w:qFormat/>
    <w:rsid w:val="00721B02"/>
    <w:pPr>
      <w:spacing w:before="200" w:after="0"/>
      <w:ind w:left="360" w:right="360"/>
    </w:pPr>
    <w:rPr>
      <w:i/>
      <w:iCs/>
    </w:rPr>
  </w:style>
  <w:style w:type="character" w:customStyle="1" w:styleId="QuoteChar">
    <w:name w:val="Quote Char"/>
    <w:basedOn w:val="DefaultParagraphFont"/>
    <w:link w:val="Quote"/>
    <w:uiPriority w:val="29"/>
    <w:rsid w:val="00721B02"/>
    <w:rPr>
      <w:i/>
      <w:iCs/>
    </w:rPr>
  </w:style>
  <w:style w:type="paragraph" w:styleId="IntenseQuote">
    <w:name w:val="Intense Quote"/>
    <w:basedOn w:val="Normal"/>
    <w:next w:val="Normal"/>
    <w:link w:val="IntenseQuoteChar"/>
    <w:uiPriority w:val="30"/>
    <w:qFormat/>
    <w:rsid w:val="00721B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1B02"/>
    <w:rPr>
      <w:b/>
      <w:bCs/>
      <w:i/>
      <w:iCs/>
    </w:rPr>
  </w:style>
  <w:style w:type="character" w:styleId="SubtleEmphasis">
    <w:name w:val="Subtle Emphasis"/>
    <w:uiPriority w:val="19"/>
    <w:qFormat/>
    <w:rsid w:val="00721B02"/>
    <w:rPr>
      <w:i/>
      <w:iCs/>
    </w:rPr>
  </w:style>
  <w:style w:type="character" w:styleId="IntenseEmphasis">
    <w:name w:val="Intense Emphasis"/>
    <w:uiPriority w:val="21"/>
    <w:qFormat/>
    <w:rsid w:val="00721B02"/>
    <w:rPr>
      <w:b/>
      <w:bCs/>
    </w:rPr>
  </w:style>
  <w:style w:type="character" w:styleId="SubtleReference">
    <w:name w:val="Subtle Reference"/>
    <w:uiPriority w:val="31"/>
    <w:qFormat/>
    <w:rsid w:val="00721B02"/>
    <w:rPr>
      <w:smallCaps/>
    </w:rPr>
  </w:style>
  <w:style w:type="character" w:styleId="IntenseReference">
    <w:name w:val="Intense Reference"/>
    <w:uiPriority w:val="32"/>
    <w:qFormat/>
    <w:rsid w:val="00721B02"/>
    <w:rPr>
      <w:smallCaps/>
      <w:spacing w:val="5"/>
      <w:u w:val="single"/>
    </w:rPr>
  </w:style>
  <w:style w:type="character" w:styleId="BookTitle">
    <w:name w:val="Book Title"/>
    <w:uiPriority w:val="33"/>
    <w:qFormat/>
    <w:rsid w:val="00721B02"/>
    <w:rPr>
      <w:i/>
      <w:iCs/>
      <w:smallCaps/>
      <w:spacing w:val="5"/>
    </w:rPr>
  </w:style>
  <w:style w:type="paragraph" w:styleId="TOCHeading">
    <w:name w:val="TOC Heading"/>
    <w:basedOn w:val="Heading1"/>
    <w:next w:val="Normal"/>
    <w:uiPriority w:val="39"/>
    <w:semiHidden/>
    <w:unhideWhenUsed/>
    <w:qFormat/>
    <w:rsid w:val="00721B02"/>
    <w:pPr>
      <w:outlineLvl w:val="9"/>
    </w:pPr>
    <w:rPr>
      <w:lang w:bidi="en-US"/>
    </w:rPr>
  </w:style>
  <w:style w:type="character" w:styleId="Hyperlink">
    <w:name w:val="Hyperlink"/>
    <w:basedOn w:val="DefaultParagraphFont"/>
    <w:uiPriority w:val="99"/>
    <w:unhideWhenUsed/>
    <w:rsid w:val="00FE32A2"/>
    <w:rPr>
      <w:color w:val="0000FF" w:themeColor="hyperlink"/>
      <w:u w:val="single"/>
    </w:rPr>
  </w:style>
  <w:style w:type="paragraph" w:styleId="BalloonText">
    <w:name w:val="Balloon Text"/>
    <w:basedOn w:val="Normal"/>
    <w:link w:val="BalloonTextChar"/>
    <w:uiPriority w:val="99"/>
    <w:semiHidden/>
    <w:unhideWhenUsed/>
    <w:rsid w:val="008E36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620"/>
    <w:rPr>
      <w:rFonts w:ascii="Times New Roman" w:hAnsi="Times New Roman" w:cs="Times New Roman"/>
      <w:sz w:val="18"/>
      <w:szCs w:val="18"/>
    </w:rPr>
  </w:style>
  <w:style w:type="character" w:customStyle="1" w:styleId="apple-converted-space">
    <w:name w:val="apple-converted-space"/>
    <w:basedOn w:val="DefaultParagraphFont"/>
    <w:rsid w:val="00344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02"/>
  </w:style>
  <w:style w:type="paragraph" w:styleId="Heading1">
    <w:name w:val="heading 1"/>
    <w:basedOn w:val="Normal"/>
    <w:next w:val="Normal"/>
    <w:link w:val="Heading1Char"/>
    <w:uiPriority w:val="9"/>
    <w:qFormat/>
    <w:rsid w:val="00721B0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21B0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21B0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21B0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21B0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21B0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21B0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21B0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21B0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B02"/>
    <w:rPr>
      <w:rFonts w:asciiTheme="majorHAnsi" w:eastAsiaTheme="majorEastAsia" w:hAnsiTheme="majorHAnsi" w:cstheme="majorBidi"/>
      <w:b/>
      <w:bCs/>
      <w:sz w:val="28"/>
      <w:szCs w:val="28"/>
    </w:rPr>
  </w:style>
  <w:style w:type="paragraph" w:styleId="NormalWeb">
    <w:name w:val="Normal (Web)"/>
    <w:basedOn w:val="Normal"/>
    <w:uiPriority w:val="99"/>
    <w:semiHidden/>
    <w:unhideWhenUsed/>
    <w:rsid w:val="00657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721B02"/>
    <w:rPr>
      <w:b/>
      <w:bCs/>
    </w:rPr>
  </w:style>
  <w:style w:type="character" w:customStyle="1" w:styleId="Heading2Char">
    <w:name w:val="Heading 2 Char"/>
    <w:basedOn w:val="DefaultParagraphFont"/>
    <w:link w:val="Heading2"/>
    <w:uiPriority w:val="9"/>
    <w:rsid w:val="00721B0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21B0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21B0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21B0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21B0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21B0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21B0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21B0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21B0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21B0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21B0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21B02"/>
    <w:rPr>
      <w:rFonts w:asciiTheme="majorHAnsi" w:eastAsiaTheme="majorEastAsia" w:hAnsiTheme="majorHAnsi" w:cstheme="majorBidi"/>
      <w:i/>
      <w:iCs/>
      <w:spacing w:val="13"/>
      <w:sz w:val="24"/>
      <w:szCs w:val="24"/>
    </w:rPr>
  </w:style>
  <w:style w:type="character" w:styleId="Emphasis">
    <w:name w:val="Emphasis"/>
    <w:uiPriority w:val="20"/>
    <w:qFormat/>
    <w:rsid w:val="00721B02"/>
    <w:rPr>
      <w:b/>
      <w:bCs/>
      <w:i/>
      <w:iCs/>
      <w:spacing w:val="10"/>
      <w:bdr w:val="none" w:sz="0" w:space="0" w:color="auto"/>
      <w:shd w:val="clear" w:color="auto" w:fill="auto"/>
    </w:rPr>
  </w:style>
  <w:style w:type="paragraph" w:styleId="NoSpacing">
    <w:name w:val="No Spacing"/>
    <w:basedOn w:val="Normal"/>
    <w:uiPriority w:val="1"/>
    <w:qFormat/>
    <w:rsid w:val="00721B02"/>
    <w:pPr>
      <w:spacing w:after="0" w:line="240" w:lineRule="auto"/>
    </w:pPr>
  </w:style>
  <w:style w:type="paragraph" w:styleId="ListParagraph">
    <w:name w:val="List Paragraph"/>
    <w:basedOn w:val="Normal"/>
    <w:uiPriority w:val="34"/>
    <w:qFormat/>
    <w:rsid w:val="00721B02"/>
    <w:pPr>
      <w:ind w:left="720"/>
      <w:contextualSpacing/>
    </w:pPr>
  </w:style>
  <w:style w:type="paragraph" w:styleId="Quote">
    <w:name w:val="Quote"/>
    <w:basedOn w:val="Normal"/>
    <w:next w:val="Normal"/>
    <w:link w:val="QuoteChar"/>
    <w:uiPriority w:val="29"/>
    <w:qFormat/>
    <w:rsid w:val="00721B02"/>
    <w:pPr>
      <w:spacing w:before="200" w:after="0"/>
      <w:ind w:left="360" w:right="360"/>
    </w:pPr>
    <w:rPr>
      <w:i/>
      <w:iCs/>
    </w:rPr>
  </w:style>
  <w:style w:type="character" w:customStyle="1" w:styleId="QuoteChar">
    <w:name w:val="Quote Char"/>
    <w:basedOn w:val="DefaultParagraphFont"/>
    <w:link w:val="Quote"/>
    <w:uiPriority w:val="29"/>
    <w:rsid w:val="00721B02"/>
    <w:rPr>
      <w:i/>
      <w:iCs/>
    </w:rPr>
  </w:style>
  <w:style w:type="paragraph" w:styleId="IntenseQuote">
    <w:name w:val="Intense Quote"/>
    <w:basedOn w:val="Normal"/>
    <w:next w:val="Normal"/>
    <w:link w:val="IntenseQuoteChar"/>
    <w:uiPriority w:val="30"/>
    <w:qFormat/>
    <w:rsid w:val="00721B0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1B02"/>
    <w:rPr>
      <w:b/>
      <w:bCs/>
      <w:i/>
      <w:iCs/>
    </w:rPr>
  </w:style>
  <w:style w:type="character" w:styleId="SubtleEmphasis">
    <w:name w:val="Subtle Emphasis"/>
    <w:uiPriority w:val="19"/>
    <w:qFormat/>
    <w:rsid w:val="00721B02"/>
    <w:rPr>
      <w:i/>
      <w:iCs/>
    </w:rPr>
  </w:style>
  <w:style w:type="character" w:styleId="IntenseEmphasis">
    <w:name w:val="Intense Emphasis"/>
    <w:uiPriority w:val="21"/>
    <w:qFormat/>
    <w:rsid w:val="00721B02"/>
    <w:rPr>
      <w:b/>
      <w:bCs/>
    </w:rPr>
  </w:style>
  <w:style w:type="character" w:styleId="SubtleReference">
    <w:name w:val="Subtle Reference"/>
    <w:uiPriority w:val="31"/>
    <w:qFormat/>
    <w:rsid w:val="00721B02"/>
    <w:rPr>
      <w:smallCaps/>
    </w:rPr>
  </w:style>
  <w:style w:type="character" w:styleId="IntenseReference">
    <w:name w:val="Intense Reference"/>
    <w:uiPriority w:val="32"/>
    <w:qFormat/>
    <w:rsid w:val="00721B02"/>
    <w:rPr>
      <w:smallCaps/>
      <w:spacing w:val="5"/>
      <w:u w:val="single"/>
    </w:rPr>
  </w:style>
  <w:style w:type="character" w:styleId="BookTitle">
    <w:name w:val="Book Title"/>
    <w:uiPriority w:val="33"/>
    <w:qFormat/>
    <w:rsid w:val="00721B02"/>
    <w:rPr>
      <w:i/>
      <w:iCs/>
      <w:smallCaps/>
      <w:spacing w:val="5"/>
    </w:rPr>
  </w:style>
  <w:style w:type="paragraph" w:styleId="TOCHeading">
    <w:name w:val="TOC Heading"/>
    <w:basedOn w:val="Heading1"/>
    <w:next w:val="Normal"/>
    <w:uiPriority w:val="39"/>
    <w:semiHidden/>
    <w:unhideWhenUsed/>
    <w:qFormat/>
    <w:rsid w:val="00721B02"/>
    <w:pPr>
      <w:outlineLvl w:val="9"/>
    </w:pPr>
    <w:rPr>
      <w:lang w:bidi="en-US"/>
    </w:rPr>
  </w:style>
  <w:style w:type="character" w:styleId="Hyperlink">
    <w:name w:val="Hyperlink"/>
    <w:basedOn w:val="DefaultParagraphFont"/>
    <w:uiPriority w:val="99"/>
    <w:unhideWhenUsed/>
    <w:rsid w:val="00FE32A2"/>
    <w:rPr>
      <w:color w:val="0000FF" w:themeColor="hyperlink"/>
      <w:u w:val="single"/>
    </w:rPr>
  </w:style>
  <w:style w:type="paragraph" w:styleId="BalloonText">
    <w:name w:val="Balloon Text"/>
    <w:basedOn w:val="Normal"/>
    <w:link w:val="BalloonTextChar"/>
    <w:uiPriority w:val="99"/>
    <w:semiHidden/>
    <w:unhideWhenUsed/>
    <w:rsid w:val="008E36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3620"/>
    <w:rPr>
      <w:rFonts w:ascii="Times New Roman" w:hAnsi="Times New Roman" w:cs="Times New Roman"/>
      <w:sz w:val="18"/>
      <w:szCs w:val="18"/>
    </w:rPr>
  </w:style>
  <w:style w:type="character" w:customStyle="1" w:styleId="apple-converted-space">
    <w:name w:val="apple-converted-space"/>
    <w:basedOn w:val="DefaultParagraphFont"/>
    <w:rsid w:val="0034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645">
      <w:bodyDiv w:val="1"/>
      <w:marLeft w:val="0"/>
      <w:marRight w:val="0"/>
      <w:marTop w:val="0"/>
      <w:marBottom w:val="0"/>
      <w:divBdr>
        <w:top w:val="none" w:sz="0" w:space="0" w:color="auto"/>
        <w:left w:val="none" w:sz="0" w:space="0" w:color="auto"/>
        <w:bottom w:val="none" w:sz="0" w:space="0" w:color="auto"/>
        <w:right w:val="none" w:sz="0" w:space="0" w:color="auto"/>
      </w:divBdr>
    </w:div>
    <w:div w:id="322928634">
      <w:bodyDiv w:val="1"/>
      <w:marLeft w:val="0"/>
      <w:marRight w:val="0"/>
      <w:marTop w:val="0"/>
      <w:marBottom w:val="0"/>
      <w:divBdr>
        <w:top w:val="none" w:sz="0" w:space="0" w:color="auto"/>
        <w:left w:val="none" w:sz="0" w:space="0" w:color="auto"/>
        <w:bottom w:val="none" w:sz="0" w:space="0" w:color="auto"/>
        <w:right w:val="none" w:sz="0" w:space="0" w:color="auto"/>
      </w:divBdr>
    </w:div>
    <w:div w:id="527182126">
      <w:bodyDiv w:val="1"/>
      <w:marLeft w:val="0"/>
      <w:marRight w:val="0"/>
      <w:marTop w:val="0"/>
      <w:marBottom w:val="0"/>
      <w:divBdr>
        <w:top w:val="none" w:sz="0" w:space="0" w:color="auto"/>
        <w:left w:val="none" w:sz="0" w:space="0" w:color="auto"/>
        <w:bottom w:val="none" w:sz="0" w:space="0" w:color="auto"/>
        <w:right w:val="none" w:sz="0" w:space="0" w:color="auto"/>
      </w:divBdr>
    </w:div>
    <w:div w:id="615065994">
      <w:bodyDiv w:val="1"/>
      <w:marLeft w:val="0"/>
      <w:marRight w:val="0"/>
      <w:marTop w:val="0"/>
      <w:marBottom w:val="0"/>
      <w:divBdr>
        <w:top w:val="none" w:sz="0" w:space="0" w:color="auto"/>
        <w:left w:val="none" w:sz="0" w:space="0" w:color="auto"/>
        <w:bottom w:val="none" w:sz="0" w:space="0" w:color="auto"/>
        <w:right w:val="none" w:sz="0" w:space="0" w:color="auto"/>
      </w:divBdr>
    </w:div>
    <w:div w:id="1364094020">
      <w:bodyDiv w:val="1"/>
      <w:marLeft w:val="0"/>
      <w:marRight w:val="0"/>
      <w:marTop w:val="0"/>
      <w:marBottom w:val="0"/>
      <w:divBdr>
        <w:top w:val="none" w:sz="0" w:space="0" w:color="auto"/>
        <w:left w:val="none" w:sz="0" w:space="0" w:color="auto"/>
        <w:bottom w:val="none" w:sz="0" w:space="0" w:color="auto"/>
        <w:right w:val="none" w:sz="0" w:space="0" w:color="auto"/>
      </w:divBdr>
      <w:divsChild>
        <w:div w:id="175772115">
          <w:marLeft w:val="0"/>
          <w:marRight w:val="0"/>
          <w:marTop w:val="0"/>
          <w:marBottom w:val="0"/>
          <w:divBdr>
            <w:top w:val="none" w:sz="0" w:space="0" w:color="auto"/>
            <w:left w:val="none" w:sz="0" w:space="0" w:color="auto"/>
            <w:bottom w:val="none" w:sz="0" w:space="0" w:color="auto"/>
            <w:right w:val="none" w:sz="0" w:space="0" w:color="auto"/>
          </w:divBdr>
          <w:divsChild>
            <w:div w:id="1929999753">
              <w:marLeft w:val="0"/>
              <w:marRight w:val="0"/>
              <w:marTop w:val="0"/>
              <w:marBottom w:val="0"/>
              <w:divBdr>
                <w:top w:val="none" w:sz="0" w:space="0" w:color="auto"/>
                <w:left w:val="none" w:sz="0" w:space="0" w:color="auto"/>
                <w:bottom w:val="none" w:sz="0" w:space="0" w:color="auto"/>
                <w:right w:val="none" w:sz="0" w:space="0" w:color="auto"/>
              </w:divBdr>
              <w:divsChild>
                <w:div w:id="1779811">
                  <w:marLeft w:val="0"/>
                  <w:marRight w:val="0"/>
                  <w:marTop w:val="0"/>
                  <w:marBottom w:val="0"/>
                  <w:divBdr>
                    <w:top w:val="none" w:sz="0" w:space="0" w:color="auto"/>
                    <w:left w:val="none" w:sz="0" w:space="0" w:color="auto"/>
                    <w:bottom w:val="none" w:sz="0" w:space="0" w:color="auto"/>
                    <w:right w:val="none" w:sz="0" w:space="0" w:color="auto"/>
                  </w:divBdr>
                </w:div>
              </w:divsChild>
            </w:div>
            <w:div w:id="1641307466">
              <w:marLeft w:val="0"/>
              <w:marRight w:val="0"/>
              <w:marTop w:val="0"/>
              <w:marBottom w:val="0"/>
              <w:divBdr>
                <w:top w:val="none" w:sz="0" w:space="0" w:color="auto"/>
                <w:left w:val="none" w:sz="0" w:space="0" w:color="auto"/>
                <w:bottom w:val="none" w:sz="0" w:space="0" w:color="auto"/>
                <w:right w:val="none" w:sz="0" w:space="0" w:color="auto"/>
              </w:divBdr>
              <w:divsChild>
                <w:div w:id="765885221">
                  <w:marLeft w:val="0"/>
                  <w:marRight w:val="0"/>
                  <w:marTop w:val="0"/>
                  <w:marBottom w:val="0"/>
                  <w:divBdr>
                    <w:top w:val="none" w:sz="0" w:space="0" w:color="auto"/>
                    <w:left w:val="none" w:sz="0" w:space="0" w:color="auto"/>
                    <w:bottom w:val="none" w:sz="0" w:space="0" w:color="auto"/>
                    <w:right w:val="none" w:sz="0" w:space="0" w:color="auto"/>
                  </w:divBdr>
                  <w:divsChild>
                    <w:div w:id="825970868">
                      <w:marLeft w:val="0"/>
                      <w:marRight w:val="0"/>
                      <w:marTop w:val="0"/>
                      <w:marBottom w:val="0"/>
                      <w:divBdr>
                        <w:top w:val="none" w:sz="0" w:space="0" w:color="auto"/>
                        <w:left w:val="none" w:sz="0" w:space="0" w:color="auto"/>
                        <w:bottom w:val="none" w:sz="0" w:space="0" w:color="auto"/>
                        <w:right w:val="none" w:sz="0" w:space="0" w:color="auto"/>
                      </w:divBdr>
                      <w:divsChild>
                        <w:div w:id="10345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415947">
      <w:bodyDiv w:val="1"/>
      <w:marLeft w:val="0"/>
      <w:marRight w:val="0"/>
      <w:marTop w:val="0"/>
      <w:marBottom w:val="0"/>
      <w:divBdr>
        <w:top w:val="none" w:sz="0" w:space="0" w:color="auto"/>
        <w:left w:val="none" w:sz="0" w:space="0" w:color="auto"/>
        <w:bottom w:val="none" w:sz="0" w:space="0" w:color="auto"/>
        <w:right w:val="none" w:sz="0" w:space="0" w:color="auto"/>
      </w:divBdr>
    </w:div>
    <w:div w:id="1585453757">
      <w:bodyDiv w:val="1"/>
      <w:marLeft w:val="0"/>
      <w:marRight w:val="0"/>
      <w:marTop w:val="0"/>
      <w:marBottom w:val="0"/>
      <w:divBdr>
        <w:top w:val="none" w:sz="0" w:space="0" w:color="auto"/>
        <w:left w:val="none" w:sz="0" w:space="0" w:color="auto"/>
        <w:bottom w:val="none" w:sz="0" w:space="0" w:color="auto"/>
        <w:right w:val="none" w:sz="0" w:space="0" w:color="auto"/>
      </w:divBdr>
    </w:div>
    <w:div w:id="1696273338">
      <w:bodyDiv w:val="1"/>
      <w:marLeft w:val="0"/>
      <w:marRight w:val="0"/>
      <w:marTop w:val="0"/>
      <w:marBottom w:val="0"/>
      <w:divBdr>
        <w:top w:val="none" w:sz="0" w:space="0" w:color="auto"/>
        <w:left w:val="none" w:sz="0" w:space="0" w:color="auto"/>
        <w:bottom w:val="none" w:sz="0" w:space="0" w:color="auto"/>
        <w:right w:val="none" w:sz="0" w:space="0" w:color="auto"/>
      </w:divBdr>
    </w:div>
    <w:div w:id="2113088610">
      <w:bodyDiv w:val="1"/>
      <w:marLeft w:val="0"/>
      <w:marRight w:val="0"/>
      <w:marTop w:val="0"/>
      <w:marBottom w:val="0"/>
      <w:divBdr>
        <w:top w:val="none" w:sz="0" w:space="0" w:color="auto"/>
        <w:left w:val="none" w:sz="0" w:space="0" w:color="auto"/>
        <w:bottom w:val="none" w:sz="0" w:space="0" w:color="auto"/>
        <w:right w:val="none" w:sz="0" w:space="0" w:color="auto"/>
      </w:divBdr>
    </w:div>
    <w:div w:id="21449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thevisualcommunicationguy.com/2014/09/16/did-i-plagiarize-the-types-and-severity-of-plagiarism-violations/" TargetMode="External"/><Relationship Id="rId3" Type="http://schemas.microsoft.com/office/2007/relationships/stylesWithEffects" Target="stylesWithEffects.xml"/><Relationship Id="rId7" Type="http://schemas.openxmlformats.org/officeDocument/2006/relationships/hyperlink" Target="http://www.umt.edu/facultysenate/procedures/ASCRC_200/202%2050%205_WritingExemptionAppeal12-8-1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t.box.com/s/mwefmoiforxlmqbelvhtrhaso6ajm6ct"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11074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2017-05-02T22:44:00Z</dcterms:created>
  <dcterms:modified xsi:type="dcterms:W3CDTF">2017-05-02T22:44:00Z</dcterms:modified>
</cp:coreProperties>
</file>